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67DD69">
      <w:pPr>
        <w:spacing w:line="360" w:lineRule="auto"/>
        <w:jc w:val="center"/>
        <w:rPr>
          <w:rFonts w:hint="eastAsia" w:ascii="黑体" w:hAnsi="黑体" w:eastAsia="黑体" w:cs="黑体"/>
          <w:b/>
          <w:bCs w:val="0"/>
          <w:color w:val="000000"/>
          <w:sz w:val="36"/>
          <w:szCs w:val="36"/>
        </w:rPr>
      </w:pPr>
      <w:r>
        <w:rPr>
          <w:rFonts w:hint="eastAsia" w:ascii="黑体" w:hAnsi="黑体" w:eastAsia="黑体" w:cs="黑体"/>
          <w:b/>
          <w:bCs w:val="0"/>
          <w:color w:val="000000"/>
          <w:sz w:val="36"/>
          <w:szCs w:val="36"/>
        </w:rPr>
        <w:t>上海电力大学本科生培养方案修订原则意见</w:t>
      </w:r>
    </w:p>
    <w:p w14:paraId="51E23FF8">
      <w:pPr>
        <w:spacing w:line="360" w:lineRule="auto"/>
        <w:ind w:firstLine="560" w:firstLineChars="200"/>
        <w:rPr>
          <w:rFonts w:hint="eastAsia" w:ascii="宋体" w:hAnsi="宋体" w:eastAsia="宋体" w:cs="宋体"/>
          <w:sz w:val="28"/>
          <w:szCs w:val="28"/>
          <w:lang w:eastAsia="zh-CN"/>
        </w:rPr>
      </w:pPr>
    </w:p>
    <w:p w14:paraId="7187D783">
      <w:pPr>
        <w:spacing w:line="360" w:lineRule="auto"/>
        <w:ind w:firstLine="560" w:firstLineChars="200"/>
        <w:rPr>
          <w:rFonts w:hint="eastAsia" w:ascii="宋体" w:hAnsi="宋体" w:eastAsia="宋体" w:cs="宋体"/>
          <w:sz w:val="28"/>
          <w:szCs w:val="28"/>
          <w:highlight w:val="yellow"/>
          <w:lang w:val="en-US" w:eastAsia="zh-CN"/>
        </w:rPr>
      </w:pPr>
      <w:r>
        <w:rPr>
          <w:rFonts w:hint="eastAsia" w:ascii="宋体" w:hAnsi="宋体" w:eastAsia="宋体" w:cs="宋体"/>
          <w:sz w:val="28"/>
          <w:szCs w:val="28"/>
          <w:lang w:eastAsia="zh-CN"/>
        </w:rPr>
        <w:t>为深入贯彻落实全国教育大会、全国高校思想政治工作会议、新时代全国高等学校本科教育工作会议精神，主动</w:t>
      </w:r>
      <w:r>
        <w:rPr>
          <w:rFonts w:hint="eastAsia" w:ascii="宋体" w:hAnsi="宋体" w:cs="宋体"/>
          <w:sz w:val="28"/>
          <w:szCs w:val="28"/>
          <w:lang w:eastAsia="zh-CN"/>
        </w:rPr>
        <w:t>应对</w:t>
      </w:r>
      <w:r>
        <w:rPr>
          <w:rFonts w:hint="eastAsia" w:ascii="宋体" w:hAnsi="宋体" w:eastAsia="宋体" w:cs="宋体"/>
          <w:sz w:val="28"/>
          <w:szCs w:val="28"/>
          <w:lang w:eastAsia="zh-CN"/>
        </w:rPr>
        <w:t>新一轮科技革命和产业变革对本科人才培养带来的机遇和挑战，加快构建高水平</w:t>
      </w:r>
      <w:r>
        <w:rPr>
          <w:rFonts w:hint="eastAsia" w:ascii="宋体" w:hAnsi="宋体" w:cs="宋体"/>
          <w:sz w:val="28"/>
          <w:szCs w:val="28"/>
          <w:lang w:val="en-US" w:eastAsia="zh-CN"/>
        </w:rPr>
        <w:t>应用型</w:t>
      </w:r>
      <w:r>
        <w:rPr>
          <w:rFonts w:hint="eastAsia" w:ascii="宋体" w:hAnsi="宋体" w:eastAsia="宋体" w:cs="宋体"/>
          <w:sz w:val="28"/>
          <w:szCs w:val="28"/>
          <w:lang w:eastAsia="zh-CN"/>
        </w:rPr>
        <w:t>人才培养体系，全面提高人才培养能力，根据《教育部关于深化本科教育教学改革全面提高人才培养质量的意见》、《普通高等学校本科专业类教学质量国家标准》（以下简称</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国标</w:t>
      </w:r>
      <w:r>
        <w:rPr>
          <w:rFonts w:hint="eastAsia" w:ascii="宋体" w:hAnsi="宋体" w:cs="宋体"/>
          <w:color w:val="auto"/>
          <w:sz w:val="28"/>
          <w:szCs w:val="28"/>
          <w:lang w:eastAsia="zh-CN"/>
        </w:rPr>
        <w:t>》</w:t>
      </w:r>
      <w:r>
        <w:rPr>
          <w:rFonts w:hint="eastAsia" w:ascii="宋体" w:hAnsi="宋体" w:eastAsia="宋体" w:cs="宋体"/>
          <w:sz w:val="28"/>
          <w:szCs w:val="28"/>
          <w:lang w:eastAsia="zh-CN"/>
        </w:rPr>
        <w:t>）等文件要求，经学校研究，现决定对</w:t>
      </w:r>
      <w:r>
        <w:rPr>
          <w:rFonts w:hint="eastAsia" w:ascii="宋体" w:hAnsi="宋体" w:eastAsia="宋体" w:cs="宋体"/>
          <w:sz w:val="28"/>
          <w:szCs w:val="28"/>
          <w:lang w:val="en-US" w:eastAsia="zh-CN"/>
        </w:rPr>
        <w:t>202</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级</w:t>
      </w:r>
      <w:r>
        <w:rPr>
          <w:rFonts w:hint="eastAsia" w:ascii="宋体" w:hAnsi="宋体" w:eastAsia="宋体" w:cs="宋体"/>
          <w:sz w:val="28"/>
          <w:szCs w:val="28"/>
          <w:highlight w:val="none"/>
          <w:lang w:val="en-US" w:eastAsia="zh-CN"/>
        </w:rPr>
        <w:t>本科生培养方案进行修订，</w:t>
      </w:r>
      <w:r>
        <w:rPr>
          <w:rFonts w:hint="eastAsia" w:ascii="宋体" w:hAnsi="宋体" w:cs="宋体"/>
          <w:sz w:val="28"/>
          <w:szCs w:val="28"/>
          <w:highlight w:val="none"/>
          <w:lang w:val="en-US" w:eastAsia="zh-CN"/>
        </w:rPr>
        <w:t>特</w:t>
      </w:r>
      <w:r>
        <w:rPr>
          <w:rFonts w:hint="eastAsia" w:ascii="宋体" w:hAnsi="宋体" w:eastAsia="宋体" w:cs="宋体"/>
          <w:sz w:val="28"/>
          <w:szCs w:val="28"/>
          <w:highlight w:val="none"/>
          <w:lang w:val="en-US" w:eastAsia="zh-CN"/>
        </w:rPr>
        <w:t>提出如下原则意见。</w:t>
      </w:r>
    </w:p>
    <w:p w14:paraId="38D02E53">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一、指导思想和基本原则</w:t>
      </w:r>
    </w:p>
    <w:p w14:paraId="75332AA6">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lang w:eastAsia="zh-CN"/>
        </w:rPr>
        <w:t>（一）</w:t>
      </w:r>
      <w:r>
        <w:rPr>
          <w:rFonts w:hint="eastAsia" w:ascii="宋体" w:hAnsi="宋体" w:eastAsia="宋体" w:cs="宋体"/>
          <w:b/>
          <w:sz w:val="28"/>
          <w:szCs w:val="28"/>
        </w:rPr>
        <w:t>指导思想</w:t>
      </w:r>
    </w:p>
    <w:p w14:paraId="3F4EA529">
      <w:pPr>
        <w:widowControl/>
        <w:spacing w:line="360" w:lineRule="auto"/>
        <w:ind w:firstLine="560" w:firstLineChars="200"/>
        <w:rPr>
          <w:rFonts w:hint="eastAsia" w:ascii="宋体" w:hAnsi="宋体" w:eastAsia="宋体" w:cs="宋体"/>
          <w:sz w:val="28"/>
          <w:szCs w:val="28"/>
          <w:highlight w:val="yellow"/>
        </w:rPr>
      </w:pPr>
      <w:r>
        <w:rPr>
          <w:rFonts w:hint="eastAsia" w:ascii="宋体" w:hAnsi="宋体" w:eastAsia="宋体" w:cs="宋体"/>
          <w:sz w:val="28"/>
          <w:szCs w:val="28"/>
          <w:lang w:eastAsia="zh-CN"/>
        </w:rPr>
        <w:t>以习近平新时代中国特色社会主义思想和党的</w:t>
      </w:r>
      <w:r>
        <w:rPr>
          <w:rFonts w:hint="eastAsia" w:ascii="宋体" w:hAnsi="宋体" w:cs="宋体"/>
          <w:sz w:val="28"/>
          <w:szCs w:val="28"/>
          <w:lang w:val="en-US" w:eastAsia="zh-CN"/>
        </w:rPr>
        <w:t>二十大</w:t>
      </w:r>
      <w:r>
        <w:rPr>
          <w:rFonts w:hint="eastAsia" w:ascii="宋体" w:hAnsi="宋体" w:eastAsia="宋体" w:cs="宋体"/>
          <w:sz w:val="28"/>
          <w:szCs w:val="28"/>
          <w:lang w:eastAsia="zh-CN"/>
        </w:rPr>
        <w:t>精神为指导，全面贯彻党和国家的教育方针，落实</w:t>
      </w:r>
      <w:r>
        <w:rPr>
          <w:rFonts w:hint="eastAsia" w:ascii="宋体" w:hAnsi="宋体" w:eastAsia="宋体" w:cs="宋体"/>
          <w:sz w:val="28"/>
          <w:szCs w:val="28"/>
        </w:rPr>
        <w:t>立德树人的根本任务</w:t>
      </w:r>
      <w:r>
        <w:rPr>
          <w:rFonts w:hint="eastAsia" w:ascii="宋体" w:hAnsi="宋体" w:eastAsia="宋体" w:cs="宋体"/>
          <w:sz w:val="28"/>
          <w:szCs w:val="28"/>
          <w:lang w:eastAsia="zh-CN"/>
        </w:rPr>
        <w:t>，准确把握</w:t>
      </w:r>
      <w:r>
        <w:rPr>
          <w:rFonts w:hint="eastAsia" w:ascii="宋体" w:hAnsi="宋体" w:eastAsia="宋体" w:cs="宋体"/>
          <w:sz w:val="28"/>
          <w:szCs w:val="28"/>
        </w:rPr>
        <w:t>高等教育基本规律和人才成长规律，以促进人的全面发展、适应社会需要为根本标准的教育质量观为引领</w:t>
      </w:r>
      <w:r>
        <w:rPr>
          <w:rFonts w:hint="eastAsia" w:ascii="宋体" w:hAnsi="宋体" w:eastAsia="宋体" w:cs="宋体"/>
          <w:sz w:val="28"/>
          <w:szCs w:val="28"/>
          <w:lang w:eastAsia="zh-CN"/>
        </w:rPr>
        <w:t>，</w:t>
      </w:r>
      <w:r>
        <w:rPr>
          <w:rFonts w:hint="eastAsia" w:ascii="宋体" w:hAnsi="宋体" w:eastAsia="宋体" w:cs="宋体"/>
          <w:sz w:val="28"/>
          <w:szCs w:val="28"/>
        </w:rPr>
        <w:t>充分认识国家战略、经济社会发展和行业进步对我校本科</w:t>
      </w:r>
      <w:r>
        <w:rPr>
          <w:rFonts w:hint="eastAsia" w:ascii="宋体" w:hAnsi="宋体" w:cs="宋体"/>
          <w:sz w:val="28"/>
          <w:szCs w:val="28"/>
          <w:lang w:val="en-US" w:eastAsia="zh-CN"/>
        </w:rPr>
        <w:t>教育</w:t>
      </w:r>
      <w:r>
        <w:rPr>
          <w:rFonts w:hint="eastAsia" w:ascii="宋体" w:hAnsi="宋体" w:eastAsia="宋体" w:cs="宋体"/>
          <w:sz w:val="28"/>
          <w:szCs w:val="28"/>
        </w:rPr>
        <w:t>教学工作提出的新要求、新任务和新挑战</w:t>
      </w:r>
      <w:r>
        <w:rPr>
          <w:rFonts w:hint="eastAsia" w:ascii="宋体" w:hAnsi="宋体" w:eastAsia="宋体" w:cs="宋体"/>
          <w:sz w:val="28"/>
          <w:szCs w:val="28"/>
          <w:lang w:eastAsia="zh-CN"/>
        </w:rPr>
        <w:t>。结合学校办学传统和理念，发掘</w:t>
      </w:r>
      <w:r>
        <w:rPr>
          <w:rFonts w:hint="eastAsia" w:ascii="宋体" w:hAnsi="宋体" w:eastAsia="宋体" w:cs="宋体"/>
          <w:sz w:val="28"/>
          <w:szCs w:val="28"/>
        </w:rPr>
        <w:t>专业特色</w:t>
      </w:r>
      <w:r>
        <w:rPr>
          <w:rFonts w:hint="eastAsia" w:ascii="宋体" w:hAnsi="宋体" w:eastAsia="宋体" w:cs="宋体"/>
          <w:sz w:val="28"/>
          <w:szCs w:val="28"/>
          <w:lang w:eastAsia="zh-CN"/>
        </w:rPr>
        <w:t>；</w:t>
      </w:r>
      <w:r>
        <w:rPr>
          <w:rFonts w:hint="eastAsia" w:ascii="宋体" w:hAnsi="宋体" w:cs="宋体"/>
          <w:sz w:val="28"/>
          <w:szCs w:val="28"/>
          <w:lang w:eastAsia="zh-CN"/>
        </w:rPr>
        <w:t>立足</w:t>
      </w:r>
      <w:r>
        <w:rPr>
          <w:rFonts w:hint="eastAsia" w:ascii="宋体" w:hAnsi="宋体" w:eastAsia="宋体" w:cs="宋体"/>
          <w:sz w:val="28"/>
          <w:szCs w:val="28"/>
        </w:rPr>
        <w:t>学校办学定位和人才培养目标，优化课程体</w:t>
      </w:r>
      <w:r>
        <w:rPr>
          <w:rFonts w:hint="eastAsia" w:ascii="宋体" w:hAnsi="宋体" w:eastAsia="宋体" w:cs="宋体"/>
          <w:sz w:val="28"/>
          <w:szCs w:val="28"/>
          <w:lang w:eastAsia="zh-CN"/>
        </w:rPr>
        <w:t>系；</w:t>
      </w:r>
      <w:r>
        <w:rPr>
          <w:rFonts w:hint="eastAsia" w:ascii="宋体" w:hAnsi="宋体" w:cs="宋体"/>
          <w:sz w:val="28"/>
          <w:szCs w:val="28"/>
          <w:lang w:eastAsia="zh-CN"/>
        </w:rPr>
        <w:t>对接</w:t>
      </w:r>
      <w:r>
        <w:rPr>
          <w:rFonts w:hint="eastAsia" w:ascii="宋体" w:hAnsi="宋体" w:eastAsia="宋体" w:cs="宋体"/>
          <w:sz w:val="28"/>
          <w:szCs w:val="28"/>
          <w:lang w:eastAsia="zh-CN"/>
        </w:rPr>
        <w:t>学科前沿及优势，更新课程内容。</w:t>
      </w:r>
      <w:r>
        <w:rPr>
          <w:rFonts w:hint="eastAsia" w:ascii="宋体" w:hAnsi="宋体" w:cs="宋体"/>
          <w:sz w:val="28"/>
          <w:szCs w:val="28"/>
          <w:lang w:eastAsia="zh-CN"/>
        </w:rPr>
        <w:t>进一步创新</w:t>
      </w:r>
      <w:r>
        <w:rPr>
          <w:rFonts w:hint="eastAsia" w:ascii="宋体" w:hAnsi="宋体" w:eastAsia="宋体" w:cs="宋体"/>
          <w:sz w:val="28"/>
          <w:szCs w:val="28"/>
          <w:lang w:eastAsia="zh-CN"/>
        </w:rPr>
        <w:t>“宽口径、厚基础、重应用、强能力”</w:t>
      </w:r>
      <w:r>
        <w:rPr>
          <w:rFonts w:hint="eastAsia" w:ascii="宋体" w:hAnsi="宋体" w:cs="宋体"/>
          <w:sz w:val="28"/>
          <w:szCs w:val="28"/>
          <w:lang w:eastAsia="zh-CN"/>
        </w:rPr>
        <w:t>的</w:t>
      </w:r>
      <w:r>
        <w:rPr>
          <w:rFonts w:hint="eastAsia" w:ascii="宋体" w:hAnsi="宋体" w:eastAsia="宋体" w:cs="宋体"/>
          <w:sz w:val="28"/>
          <w:szCs w:val="28"/>
          <w:lang w:eastAsia="zh-CN"/>
        </w:rPr>
        <w:t>人才培养</w:t>
      </w:r>
      <w:r>
        <w:rPr>
          <w:rFonts w:hint="eastAsia" w:ascii="宋体" w:hAnsi="宋体" w:cs="宋体"/>
          <w:sz w:val="28"/>
          <w:szCs w:val="28"/>
          <w:lang w:eastAsia="zh-CN"/>
        </w:rPr>
        <w:t>模式</w:t>
      </w:r>
      <w:r>
        <w:rPr>
          <w:rFonts w:hint="eastAsia" w:ascii="宋体" w:hAnsi="宋体" w:eastAsia="宋体" w:cs="宋体"/>
          <w:sz w:val="28"/>
          <w:szCs w:val="28"/>
          <w:lang w:eastAsia="zh-CN"/>
        </w:rPr>
        <w:t>，增强培养方案与经济社会发展、学生发展需求的契合度，构建应用型人才培养新格局。</w:t>
      </w:r>
    </w:p>
    <w:p w14:paraId="21074C5E">
      <w:pPr>
        <w:widowControl/>
        <w:numPr>
          <w:ilvl w:val="0"/>
          <w:numId w:val="0"/>
        </w:num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lang w:eastAsia="zh-CN"/>
        </w:rPr>
        <w:t>（二）</w:t>
      </w:r>
      <w:r>
        <w:rPr>
          <w:rFonts w:hint="eastAsia" w:ascii="宋体" w:hAnsi="宋体" w:eastAsia="宋体" w:cs="宋体"/>
          <w:b/>
          <w:sz w:val="28"/>
          <w:szCs w:val="28"/>
        </w:rPr>
        <w:t>基本原则</w:t>
      </w:r>
    </w:p>
    <w:p w14:paraId="60C4F445">
      <w:pPr>
        <w:pStyle w:val="2"/>
        <w:numPr>
          <w:ilvl w:val="0"/>
          <w:numId w:val="0"/>
        </w:numPr>
        <w:spacing w:line="360" w:lineRule="auto"/>
        <w:ind w:firstLine="562" w:firstLineChars="200"/>
        <w:jc w:val="both"/>
        <w:rPr>
          <w:rFonts w:hint="eastAsia" w:ascii="宋体" w:hAnsi="宋体" w:eastAsia="宋体" w:cs="宋体"/>
          <w:b/>
          <w:sz w:val="28"/>
          <w:szCs w:val="28"/>
          <w:highlight w:val="yellow"/>
          <w:lang w:val="en-US" w:eastAsia="zh-CN"/>
        </w:rPr>
      </w:pPr>
      <w:r>
        <w:rPr>
          <w:rFonts w:hint="eastAsia" w:ascii="宋体" w:hAnsi="宋体" w:eastAsia="宋体" w:cs="宋体"/>
          <w:b/>
          <w:sz w:val="28"/>
          <w:szCs w:val="28"/>
          <w:lang w:val="en-US" w:eastAsia="zh-CN"/>
        </w:rPr>
        <w:t>1.强化价值引领，落实立德树人根本任务。</w:t>
      </w:r>
      <w:r>
        <w:rPr>
          <w:rFonts w:hint="eastAsia" w:ascii="宋体" w:hAnsi="宋体" w:eastAsia="宋体" w:cs="宋体"/>
          <w:b w:val="0"/>
          <w:bCs/>
          <w:sz w:val="28"/>
          <w:szCs w:val="28"/>
          <w:lang w:val="en-US" w:eastAsia="zh-CN"/>
        </w:rPr>
        <w:t>推动思想政治理论课改革创新，发挥思政课程育人主渠道作用；</w:t>
      </w:r>
      <w:r>
        <w:rPr>
          <w:rFonts w:hint="eastAsia" w:ascii="宋体" w:hAnsi="宋体" w:eastAsia="宋体" w:cs="宋体"/>
          <w:kern w:val="2"/>
          <w:sz w:val="28"/>
          <w:szCs w:val="28"/>
          <w:lang w:val="en-US" w:eastAsia="zh-CN" w:bidi="ar-SA"/>
        </w:rPr>
        <w:t>根据不同专业人才培养特点和专业能力素质要求，坚持价值引领和知识传授相统一，在</w:t>
      </w:r>
      <w:r>
        <w:rPr>
          <w:rFonts w:hint="eastAsia" w:cs="宋体"/>
          <w:kern w:val="2"/>
          <w:sz w:val="28"/>
          <w:szCs w:val="28"/>
          <w:lang w:val="en-US" w:eastAsia="zh-CN" w:bidi="ar-SA"/>
        </w:rPr>
        <w:t>各类</w:t>
      </w:r>
      <w:r>
        <w:rPr>
          <w:rFonts w:hint="eastAsia" w:ascii="宋体" w:hAnsi="宋体" w:eastAsia="宋体" w:cs="宋体"/>
          <w:kern w:val="2"/>
          <w:sz w:val="28"/>
          <w:szCs w:val="28"/>
          <w:lang w:val="en-US" w:eastAsia="zh-CN" w:bidi="ar-SA"/>
        </w:rPr>
        <w:t>课程中有机融入思想政治教育元素，推出一批育人效果显著的精品课程，打造一批课程思政示范课堂，形成</w:t>
      </w:r>
      <w:r>
        <w:rPr>
          <w:rFonts w:hint="eastAsia" w:cs="宋体"/>
          <w:kern w:val="2"/>
          <w:sz w:val="28"/>
          <w:szCs w:val="28"/>
          <w:lang w:val="en-US" w:eastAsia="zh-CN" w:bidi="ar-SA"/>
        </w:rPr>
        <w:t>各类课程</w:t>
      </w:r>
      <w:r>
        <w:rPr>
          <w:rFonts w:hint="eastAsia" w:ascii="宋体" w:hAnsi="宋体" w:eastAsia="宋体" w:cs="宋体"/>
          <w:kern w:val="2"/>
          <w:sz w:val="28"/>
          <w:szCs w:val="28"/>
          <w:lang w:val="en-US" w:eastAsia="zh-CN" w:bidi="ar-SA"/>
        </w:rPr>
        <w:t>教学与思想政治理论课教学紧密结合、同向同行的育人格局</w:t>
      </w:r>
      <w:r>
        <w:rPr>
          <w:rFonts w:hint="eastAsia" w:cs="宋体"/>
          <w:kern w:val="2"/>
          <w:sz w:val="28"/>
          <w:szCs w:val="28"/>
          <w:lang w:val="en-US" w:eastAsia="zh-CN" w:bidi="ar-SA"/>
        </w:rPr>
        <w:t>，全面推进课程思政。</w:t>
      </w:r>
    </w:p>
    <w:p w14:paraId="05797BC4">
      <w:pPr>
        <w:widowControl/>
        <w:spacing w:line="360" w:lineRule="auto"/>
        <w:ind w:firstLine="562" w:firstLineChars="200"/>
        <w:jc w:val="left"/>
        <w:rPr>
          <w:rFonts w:hint="eastAsia" w:ascii="宋体" w:hAnsi="宋体" w:eastAsia="宋体" w:cs="宋体"/>
          <w:b w:val="0"/>
          <w:bCs w:val="0"/>
          <w:sz w:val="28"/>
          <w:szCs w:val="28"/>
          <w:lang w:eastAsia="zh-CN"/>
        </w:rPr>
      </w:pPr>
      <w:r>
        <w:rPr>
          <w:rFonts w:hint="eastAsia" w:ascii="宋体" w:hAnsi="宋体" w:eastAsia="宋体" w:cs="宋体"/>
          <w:b/>
          <w:bCs/>
          <w:sz w:val="28"/>
          <w:szCs w:val="28"/>
          <w:lang w:val="en-US" w:eastAsia="zh-CN"/>
        </w:rPr>
        <w:t>2.坚持需求导向</w:t>
      </w:r>
      <w:r>
        <w:rPr>
          <w:rFonts w:hint="eastAsia" w:ascii="宋体" w:hAnsi="宋体" w:eastAsia="宋体" w:cs="宋体"/>
          <w:b/>
          <w:bCs/>
          <w:sz w:val="28"/>
          <w:szCs w:val="28"/>
        </w:rPr>
        <w:t>，</w:t>
      </w:r>
      <w:r>
        <w:rPr>
          <w:rFonts w:hint="eastAsia" w:ascii="宋体" w:hAnsi="宋体" w:eastAsia="宋体" w:cs="宋体"/>
          <w:b/>
          <w:bCs/>
          <w:sz w:val="28"/>
          <w:szCs w:val="28"/>
          <w:lang w:eastAsia="zh-CN"/>
        </w:rPr>
        <w:t>服务国家战略及区域经济转型升级</w:t>
      </w:r>
      <w:r>
        <w:rPr>
          <w:rFonts w:hint="eastAsia" w:ascii="宋体" w:hAnsi="宋体" w:eastAsia="宋体" w:cs="宋体"/>
          <w:b/>
          <w:bCs/>
          <w:sz w:val="28"/>
          <w:szCs w:val="28"/>
        </w:rPr>
        <w:t>。</w:t>
      </w:r>
      <w:r>
        <w:rPr>
          <w:rFonts w:hint="eastAsia" w:ascii="宋体" w:hAnsi="宋体" w:eastAsia="宋体" w:cs="宋体"/>
          <w:b w:val="0"/>
          <w:bCs w:val="0"/>
          <w:sz w:val="28"/>
          <w:szCs w:val="28"/>
          <w:lang w:eastAsia="zh-CN"/>
        </w:rPr>
        <w:t>服务创新驱动发展</w:t>
      </w:r>
      <w:r>
        <w:rPr>
          <w:rFonts w:hint="eastAsia" w:ascii="宋体" w:hAnsi="宋体" w:cs="宋体"/>
          <w:b w:val="0"/>
          <w:bCs w:val="0"/>
          <w:sz w:val="28"/>
          <w:szCs w:val="28"/>
          <w:lang w:eastAsia="zh-CN"/>
        </w:rPr>
        <w:t>、</w:t>
      </w:r>
      <w:r>
        <w:rPr>
          <w:rFonts w:hint="eastAsia" w:ascii="宋体" w:hAnsi="宋体" w:eastAsia="宋体" w:cs="宋体"/>
          <w:b w:val="0"/>
          <w:bCs w:val="0"/>
          <w:sz w:val="28"/>
          <w:szCs w:val="28"/>
          <w:lang w:eastAsia="zh-CN"/>
        </w:rPr>
        <w:t>“一带一路”</w:t>
      </w:r>
      <w:r>
        <w:rPr>
          <w:rFonts w:hint="eastAsia" w:ascii="宋体" w:hAnsi="宋体" w:cs="宋体"/>
          <w:b w:val="0"/>
          <w:bCs w:val="0"/>
          <w:sz w:val="28"/>
          <w:szCs w:val="28"/>
          <w:lang w:eastAsia="zh-CN"/>
        </w:rPr>
        <w:t>、</w:t>
      </w:r>
      <w:r>
        <w:rPr>
          <w:rFonts w:hint="eastAsia" w:ascii="宋体" w:hAnsi="宋体" w:eastAsia="宋体" w:cs="宋体"/>
          <w:b w:val="0"/>
          <w:bCs w:val="0"/>
          <w:sz w:val="28"/>
          <w:szCs w:val="28"/>
          <w:lang w:eastAsia="zh-CN"/>
        </w:rPr>
        <w:t>“双碳”目标等国家</w:t>
      </w:r>
      <w:r>
        <w:rPr>
          <w:rFonts w:hint="eastAsia" w:ascii="宋体" w:hAnsi="宋体" w:cs="宋体"/>
          <w:b w:val="0"/>
          <w:bCs w:val="0"/>
          <w:sz w:val="28"/>
          <w:szCs w:val="28"/>
          <w:lang w:eastAsia="zh-CN"/>
        </w:rPr>
        <w:t>重大</w:t>
      </w:r>
      <w:r>
        <w:rPr>
          <w:rFonts w:hint="eastAsia" w:ascii="宋体" w:hAnsi="宋体" w:eastAsia="宋体" w:cs="宋体"/>
          <w:b w:val="0"/>
          <w:bCs w:val="0"/>
          <w:sz w:val="28"/>
          <w:szCs w:val="28"/>
          <w:lang w:eastAsia="zh-CN"/>
        </w:rPr>
        <w:t>战略以及互联网、大数据、云计算、人工智能等现代信息技术发展趋势，注重传统专业转型升级，主动布局战略性新兴产业发展和民生急需的相关学科专业。同时，深入行业、企业一线开展调研，广泛听取行业企业、用人单位、毕业校友、教师以及在校学生的意见</w:t>
      </w:r>
      <w:r>
        <w:rPr>
          <w:rFonts w:hint="eastAsia" w:ascii="宋体" w:hAnsi="宋体" w:cs="宋体"/>
          <w:b w:val="0"/>
          <w:bCs w:val="0"/>
          <w:sz w:val="28"/>
          <w:szCs w:val="28"/>
          <w:lang w:val="en-US" w:eastAsia="zh-CN"/>
        </w:rPr>
        <w:t>与</w:t>
      </w:r>
      <w:r>
        <w:rPr>
          <w:rFonts w:hint="eastAsia" w:ascii="宋体" w:hAnsi="宋体" w:eastAsia="宋体" w:cs="宋体"/>
          <w:b w:val="0"/>
          <w:bCs w:val="0"/>
          <w:sz w:val="28"/>
          <w:szCs w:val="28"/>
          <w:lang w:eastAsia="zh-CN"/>
        </w:rPr>
        <w:t>建议，依托我校学科优势，找准专业定位</w:t>
      </w:r>
      <w:r>
        <w:rPr>
          <w:rFonts w:hint="eastAsia" w:ascii="宋体" w:hAnsi="宋体" w:cs="宋体"/>
          <w:b w:val="0"/>
          <w:bCs w:val="0"/>
          <w:sz w:val="28"/>
          <w:szCs w:val="28"/>
          <w:lang w:eastAsia="zh-CN"/>
        </w:rPr>
        <w:t>，</w:t>
      </w:r>
      <w:r>
        <w:rPr>
          <w:rFonts w:hint="eastAsia" w:ascii="宋体" w:hAnsi="宋体" w:eastAsia="宋体" w:cs="宋体"/>
          <w:b w:val="0"/>
          <w:bCs w:val="0"/>
          <w:sz w:val="28"/>
          <w:szCs w:val="28"/>
          <w:lang w:eastAsia="zh-CN"/>
        </w:rPr>
        <w:t>办出特色，科学制定专业人才培养方案。</w:t>
      </w:r>
    </w:p>
    <w:p w14:paraId="58F5947F">
      <w:pPr>
        <w:widowControl/>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3.</w:t>
      </w:r>
      <w:r>
        <w:rPr>
          <w:rFonts w:hint="eastAsia" w:ascii="宋体" w:hAnsi="宋体" w:eastAsia="宋体" w:cs="宋体"/>
          <w:b/>
          <w:bCs/>
          <w:sz w:val="28"/>
          <w:szCs w:val="28"/>
          <w:lang w:eastAsia="zh-CN"/>
        </w:rPr>
        <w:t>严格质量标准，加强专业内涵建设。</w:t>
      </w:r>
      <w:r>
        <w:rPr>
          <w:rFonts w:hint="eastAsia" w:ascii="宋体" w:hAnsi="宋体" w:eastAsia="宋体" w:cs="宋体"/>
          <w:b w:val="0"/>
          <w:bCs w:val="0"/>
          <w:sz w:val="28"/>
          <w:szCs w:val="28"/>
          <w:lang w:eastAsia="zh-CN"/>
        </w:rPr>
        <w:t>遵循</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国标</w:t>
      </w:r>
      <w:r>
        <w:rPr>
          <w:rFonts w:hint="eastAsia" w:ascii="宋体" w:hAnsi="宋体" w:cs="宋体"/>
          <w:color w:val="auto"/>
          <w:sz w:val="28"/>
          <w:szCs w:val="28"/>
          <w:lang w:eastAsia="zh-CN"/>
        </w:rPr>
        <w:t>》</w:t>
      </w:r>
      <w:r>
        <w:rPr>
          <w:rFonts w:hint="eastAsia" w:ascii="宋体" w:hAnsi="宋体" w:eastAsia="宋体" w:cs="宋体"/>
          <w:b w:val="0"/>
          <w:bCs w:val="0"/>
          <w:sz w:val="28"/>
          <w:szCs w:val="28"/>
          <w:lang w:eastAsia="zh-CN"/>
        </w:rPr>
        <w:t>、</w:t>
      </w:r>
      <w:r>
        <w:rPr>
          <w:rFonts w:hint="eastAsia" w:ascii="宋体" w:hAnsi="宋体" w:cs="宋体"/>
          <w:b w:val="0"/>
          <w:bCs w:val="0"/>
          <w:sz w:val="28"/>
          <w:szCs w:val="28"/>
          <w:lang w:eastAsia="zh-CN"/>
        </w:rPr>
        <w:t>专业认证（评估）</w:t>
      </w:r>
      <w:r>
        <w:rPr>
          <w:rFonts w:hint="eastAsia" w:ascii="宋体" w:hAnsi="宋体" w:eastAsia="宋体" w:cs="宋体"/>
          <w:b w:val="0"/>
          <w:bCs w:val="0"/>
          <w:sz w:val="28"/>
          <w:szCs w:val="28"/>
          <w:lang w:eastAsia="zh-CN"/>
        </w:rPr>
        <w:t>标准等要求</w:t>
      </w:r>
      <w:r>
        <w:rPr>
          <w:rFonts w:hint="eastAsia" w:ascii="宋体" w:hAnsi="宋体" w:eastAsia="宋体" w:cs="宋体"/>
          <w:b w:val="0"/>
          <w:bCs w:val="0"/>
          <w:sz w:val="28"/>
          <w:szCs w:val="28"/>
        </w:rPr>
        <w:t>，</w:t>
      </w:r>
      <w:r>
        <w:rPr>
          <w:rFonts w:hint="eastAsia" w:ascii="宋体" w:hAnsi="宋体" w:eastAsia="宋体" w:cs="宋体"/>
          <w:b w:val="0"/>
          <w:bCs w:val="0"/>
          <w:sz w:val="28"/>
          <w:szCs w:val="28"/>
          <w:lang w:eastAsia="zh-CN"/>
        </w:rPr>
        <w:t>全面落实以学生为中心、成果导向、持续改进的教育理念。完善</w:t>
      </w:r>
      <w:r>
        <w:rPr>
          <w:rFonts w:hint="eastAsia" w:ascii="宋体" w:hAnsi="宋体" w:eastAsia="宋体" w:cs="宋体"/>
          <w:sz w:val="28"/>
          <w:szCs w:val="28"/>
          <w:lang w:eastAsia="zh-CN"/>
        </w:rPr>
        <w:t>专业</w:t>
      </w:r>
      <w:r>
        <w:rPr>
          <w:rFonts w:hint="eastAsia" w:ascii="宋体" w:hAnsi="宋体" w:eastAsia="宋体" w:cs="宋体"/>
          <w:sz w:val="28"/>
          <w:szCs w:val="28"/>
        </w:rPr>
        <w:t>人才培养目标</w:t>
      </w:r>
      <w:r>
        <w:rPr>
          <w:rFonts w:hint="eastAsia" w:ascii="宋体" w:hAnsi="宋体" w:eastAsia="宋体" w:cs="宋体"/>
          <w:sz w:val="28"/>
          <w:szCs w:val="28"/>
          <w:lang w:eastAsia="zh-CN"/>
        </w:rPr>
        <w:t>，提出明确、公开、可衡量的</w:t>
      </w:r>
      <w:r>
        <w:rPr>
          <w:rFonts w:hint="eastAsia" w:ascii="宋体" w:hAnsi="宋体" w:eastAsia="宋体" w:cs="宋体"/>
          <w:sz w:val="28"/>
          <w:szCs w:val="28"/>
        </w:rPr>
        <w:t>毕业要求</w:t>
      </w:r>
      <w:r>
        <w:rPr>
          <w:rFonts w:hint="eastAsia" w:ascii="宋体" w:hAnsi="宋体" w:eastAsia="宋体" w:cs="宋体"/>
          <w:sz w:val="28"/>
          <w:szCs w:val="28"/>
          <w:lang w:eastAsia="zh-CN"/>
        </w:rPr>
        <w:t>，</w:t>
      </w:r>
      <w:r>
        <w:rPr>
          <w:rFonts w:hint="eastAsia" w:ascii="宋体" w:hAnsi="宋体" w:eastAsia="宋体" w:cs="宋体"/>
          <w:sz w:val="28"/>
          <w:szCs w:val="28"/>
        </w:rPr>
        <w:t>设计</w:t>
      </w:r>
      <w:r>
        <w:rPr>
          <w:rFonts w:hint="eastAsia" w:ascii="宋体" w:hAnsi="宋体" w:eastAsia="宋体" w:cs="宋体"/>
          <w:sz w:val="28"/>
          <w:szCs w:val="28"/>
          <w:lang w:eastAsia="zh-CN"/>
        </w:rPr>
        <w:t>合理的</w:t>
      </w:r>
      <w:r>
        <w:rPr>
          <w:rFonts w:hint="eastAsia" w:ascii="宋体" w:hAnsi="宋体" w:eastAsia="宋体" w:cs="宋体"/>
          <w:sz w:val="28"/>
          <w:szCs w:val="28"/>
        </w:rPr>
        <w:t>课程体系，</w:t>
      </w:r>
      <w:r>
        <w:rPr>
          <w:rFonts w:hint="eastAsia" w:ascii="宋体" w:hAnsi="宋体" w:eastAsia="宋体" w:cs="宋体"/>
          <w:sz w:val="28"/>
          <w:szCs w:val="28"/>
          <w:lang w:eastAsia="zh-CN"/>
        </w:rPr>
        <w:t>支撑毕业要求达成。</w:t>
      </w:r>
      <w:r>
        <w:rPr>
          <w:rFonts w:hint="eastAsia" w:ascii="宋体" w:hAnsi="宋体" w:eastAsia="宋体" w:cs="宋体"/>
          <w:sz w:val="28"/>
          <w:szCs w:val="28"/>
        </w:rPr>
        <w:t>保证内外需求与培养目标、培养目标与毕业要求、毕业要求与课程体系及教学内容之间具有良好的对应关系。</w:t>
      </w:r>
    </w:p>
    <w:p w14:paraId="4C15CB68">
      <w:pPr>
        <w:widowControl/>
        <w:spacing w:line="360" w:lineRule="auto"/>
        <w:ind w:firstLine="562" w:firstLineChars="200"/>
        <w:rPr>
          <w:rFonts w:hint="eastAsia" w:ascii="宋体" w:hAnsi="宋体" w:eastAsia="宋体" w:cs="宋体"/>
          <w:b w:val="0"/>
          <w:bCs w:val="0"/>
          <w:sz w:val="28"/>
          <w:szCs w:val="28"/>
          <w:lang w:eastAsia="zh-CN"/>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w:t>
      </w:r>
      <w:r>
        <w:rPr>
          <w:rFonts w:hint="eastAsia" w:ascii="宋体" w:hAnsi="宋体" w:eastAsia="宋体" w:cs="宋体"/>
          <w:b/>
          <w:bCs/>
          <w:sz w:val="28"/>
          <w:szCs w:val="28"/>
          <w:lang w:eastAsia="zh-CN"/>
        </w:rPr>
        <w:t>打造一流课程</w:t>
      </w:r>
      <w:r>
        <w:rPr>
          <w:rFonts w:hint="eastAsia" w:ascii="宋体" w:hAnsi="宋体" w:eastAsia="宋体" w:cs="宋体"/>
          <w:b/>
          <w:bCs/>
          <w:sz w:val="28"/>
          <w:szCs w:val="28"/>
        </w:rPr>
        <w:t>，</w:t>
      </w:r>
      <w:r>
        <w:rPr>
          <w:rFonts w:hint="eastAsia" w:ascii="宋体" w:hAnsi="宋体" w:eastAsia="宋体" w:cs="宋体"/>
          <w:b/>
          <w:bCs/>
          <w:sz w:val="28"/>
          <w:szCs w:val="28"/>
          <w:lang w:eastAsia="zh-CN"/>
        </w:rPr>
        <w:t>夯实人才培养核心基础</w:t>
      </w:r>
      <w:r>
        <w:rPr>
          <w:rFonts w:hint="eastAsia" w:ascii="宋体" w:hAnsi="宋体" w:eastAsia="宋体" w:cs="宋体"/>
          <w:b/>
          <w:bCs/>
          <w:sz w:val="28"/>
          <w:szCs w:val="28"/>
        </w:rPr>
        <w:t>。</w:t>
      </w:r>
      <w:r>
        <w:rPr>
          <w:rFonts w:hint="eastAsia" w:ascii="宋体" w:hAnsi="宋体" w:eastAsia="宋体" w:cs="宋体"/>
          <w:b w:val="0"/>
          <w:bCs w:val="0"/>
          <w:sz w:val="28"/>
          <w:szCs w:val="28"/>
          <w:lang w:eastAsia="zh-CN"/>
        </w:rPr>
        <w:t>以专业核心课程建设为龙头，着力打造具有“高阶性”、“创新性”和“挑战度”的各类优质课程资源。积极对接一流课程“双万计划”，重构教学内容与课程体系，改革教学模式。聚焦“新工科”、“新文科”，建设一批体现多学科思维融合、产业技术与学科理论融合、有助于多元化和创新型人才培养的一流本科课程。</w:t>
      </w:r>
    </w:p>
    <w:p w14:paraId="03F826A2">
      <w:pPr>
        <w:widowControl/>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5</w:t>
      </w:r>
      <w:r>
        <w:rPr>
          <w:rFonts w:hint="eastAsia" w:ascii="宋体" w:hAnsi="宋体" w:eastAsia="宋体" w:cs="宋体"/>
          <w:b/>
          <w:bCs/>
          <w:sz w:val="28"/>
          <w:szCs w:val="28"/>
        </w:rPr>
        <w:t>.</w:t>
      </w:r>
      <w:r>
        <w:rPr>
          <w:rFonts w:hint="eastAsia" w:ascii="宋体" w:hAnsi="宋体" w:eastAsia="宋体" w:cs="宋体"/>
          <w:b/>
          <w:bCs/>
          <w:sz w:val="28"/>
          <w:szCs w:val="28"/>
          <w:highlight w:val="none"/>
          <w:lang w:eastAsia="zh-CN"/>
        </w:rPr>
        <w:t>实施大类培养，</w:t>
      </w:r>
      <w:r>
        <w:rPr>
          <w:rFonts w:hint="eastAsia" w:ascii="宋体" w:hAnsi="宋体" w:eastAsia="宋体" w:cs="宋体"/>
          <w:b/>
          <w:bCs/>
          <w:sz w:val="28"/>
          <w:szCs w:val="28"/>
          <w:highlight w:val="none"/>
        </w:rPr>
        <w:t>构建多元化人才培养模式。</w:t>
      </w:r>
      <w:r>
        <w:rPr>
          <w:rFonts w:hint="eastAsia" w:ascii="宋体" w:hAnsi="宋体" w:eastAsia="宋体" w:cs="宋体"/>
          <w:b w:val="0"/>
          <w:bCs w:val="0"/>
          <w:sz w:val="28"/>
          <w:szCs w:val="28"/>
          <w:lang w:eastAsia="zh-CN"/>
        </w:rPr>
        <w:t>按照通识教育、学科基础、专业教育和集中实践</w:t>
      </w:r>
      <w:r>
        <w:rPr>
          <w:rFonts w:hint="eastAsia" w:ascii="宋体" w:hAnsi="宋体" w:cs="宋体"/>
          <w:b w:val="0"/>
          <w:bCs w:val="0"/>
          <w:sz w:val="28"/>
          <w:szCs w:val="28"/>
          <w:lang w:eastAsia="zh-CN"/>
        </w:rPr>
        <w:t>四个类别进行课程体系设置</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highlight w:val="none"/>
          <w:lang w:eastAsia="zh-CN"/>
        </w:rPr>
        <w:t>学校统一规划通识教育课程，统筹设置学科基础课程，</w:t>
      </w:r>
      <w:r>
        <w:rPr>
          <w:rFonts w:hint="eastAsia" w:ascii="宋体" w:hAnsi="宋体" w:eastAsia="宋体" w:cs="宋体"/>
          <w:b w:val="0"/>
          <w:bCs w:val="0"/>
          <w:sz w:val="28"/>
          <w:szCs w:val="28"/>
          <w:lang w:eastAsia="zh-CN"/>
        </w:rPr>
        <w:t>凝练专业核心课程，重视学科专业前沿，实行模块化的专业教育，丰富专业方向选修课资源。调动学生的</w:t>
      </w:r>
      <w:r>
        <w:rPr>
          <w:rFonts w:hint="eastAsia" w:ascii="宋体" w:hAnsi="宋体" w:cs="宋体"/>
          <w:b w:val="0"/>
          <w:bCs w:val="0"/>
          <w:sz w:val="28"/>
          <w:szCs w:val="28"/>
          <w:lang w:val="en-US" w:eastAsia="zh-CN"/>
        </w:rPr>
        <w:t>学习</w:t>
      </w:r>
      <w:r>
        <w:rPr>
          <w:rFonts w:hint="eastAsia" w:ascii="宋体" w:hAnsi="宋体" w:eastAsia="宋体" w:cs="宋体"/>
          <w:b w:val="0"/>
          <w:bCs w:val="0"/>
          <w:sz w:val="28"/>
          <w:szCs w:val="28"/>
          <w:lang w:eastAsia="zh-CN"/>
        </w:rPr>
        <w:t>主动性和积极性，扩大学生的学习自主权，促进学生</w:t>
      </w:r>
      <w:r>
        <w:rPr>
          <w:rFonts w:hint="eastAsia" w:ascii="宋体" w:hAnsi="宋体" w:cs="宋体"/>
          <w:b w:val="0"/>
          <w:bCs w:val="0"/>
          <w:sz w:val="28"/>
          <w:szCs w:val="28"/>
          <w:lang w:val="en-US" w:eastAsia="zh-CN"/>
        </w:rPr>
        <w:t>多元</w:t>
      </w:r>
      <w:r>
        <w:rPr>
          <w:rFonts w:hint="eastAsia" w:ascii="宋体" w:hAnsi="宋体" w:eastAsia="宋体" w:cs="宋体"/>
          <w:b w:val="0"/>
          <w:bCs w:val="0"/>
          <w:sz w:val="28"/>
          <w:szCs w:val="28"/>
          <w:lang w:eastAsia="zh-CN"/>
        </w:rPr>
        <w:t>发展。</w:t>
      </w:r>
    </w:p>
    <w:p w14:paraId="4993BE16">
      <w:pPr>
        <w:widowControl/>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6</w:t>
      </w:r>
      <w:r>
        <w:rPr>
          <w:rFonts w:hint="eastAsia" w:ascii="宋体" w:hAnsi="宋体" w:eastAsia="宋体" w:cs="宋体"/>
          <w:b/>
          <w:bCs/>
          <w:sz w:val="28"/>
          <w:szCs w:val="28"/>
        </w:rPr>
        <w:t>.</w:t>
      </w:r>
      <w:r>
        <w:rPr>
          <w:rFonts w:hint="eastAsia" w:ascii="宋体" w:hAnsi="宋体" w:eastAsia="宋体" w:cs="宋体"/>
          <w:b/>
          <w:bCs/>
          <w:sz w:val="28"/>
          <w:szCs w:val="28"/>
          <w:lang w:eastAsia="zh-CN"/>
        </w:rPr>
        <w:t>深化产教融合</w:t>
      </w:r>
      <w:r>
        <w:rPr>
          <w:rFonts w:hint="eastAsia" w:ascii="宋体" w:hAnsi="宋体" w:eastAsia="宋体" w:cs="宋体"/>
          <w:b/>
          <w:bCs/>
          <w:sz w:val="28"/>
          <w:szCs w:val="28"/>
        </w:rPr>
        <w:t>协同育人，</w:t>
      </w:r>
      <w:r>
        <w:rPr>
          <w:rFonts w:hint="eastAsia" w:ascii="宋体" w:hAnsi="宋体" w:cs="宋体"/>
          <w:b/>
          <w:bCs/>
          <w:sz w:val="28"/>
          <w:szCs w:val="28"/>
          <w:lang w:eastAsia="zh-CN"/>
        </w:rPr>
        <w:t>提升</w:t>
      </w:r>
      <w:r>
        <w:rPr>
          <w:rFonts w:hint="eastAsia" w:ascii="宋体" w:hAnsi="宋体" w:eastAsia="宋体" w:cs="宋体"/>
          <w:b/>
          <w:bCs/>
          <w:sz w:val="28"/>
          <w:szCs w:val="28"/>
        </w:rPr>
        <w:t>学生实践能力。</w:t>
      </w:r>
      <w:r>
        <w:rPr>
          <w:rFonts w:hint="eastAsia" w:ascii="宋体" w:hAnsi="宋体" w:eastAsia="宋体" w:cs="宋体"/>
          <w:sz w:val="28"/>
          <w:szCs w:val="28"/>
        </w:rPr>
        <w:t>加强与行业企业、地方政府及兄弟高校的合作，协同制定</w:t>
      </w:r>
      <w:r>
        <w:rPr>
          <w:rFonts w:hint="eastAsia" w:ascii="宋体" w:hAnsi="宋体" w:cs="宋体"/>
          <w:sz w:val="28"/>
          <w:szCs w:val="28"/>
          <w:lang w:val="en-US" w:eastAsia="zh-CN"/>
        </w:rPr>
        <w:t>人才</w:t>
      </w:r>
      <w:r>
        <w:rPr>
          <w:rFonts w:hint="eastAsia" w:ascii="宋体" w:hAnsi="宋体" w:eastAsia="宋体" w:cs="宋体"/>
          <w:sz w:val="28"/>
          <w:szCs w:val="28"/>
        </w:rPr>
        <w:t>培养方案，开发</w:t>
      </w:r>
      <w:r>
        <w:rPr>
          <w:rFonts w:hint="eastAsia" w:ascii="宋体" w:hAnsi="宋体" w:eastAsia="宋体" w:cs="宋体"/>
          <w:sz w:val="28"/>
          <w:szCs w:val="28"/>
          <w:lang w:eastAsia="zh-CN"/>
        </w:rPr>
        <w:t>并</w:t>
      </w:r>
      <w:r>
        <w:rPr>
          <w:rFonts w:hint="eastAsia" w:ascii="宋体" w:hAnsi="宋体" w:eastAsia="宋体" w:cs="宋体"/>
          <w:sz w:val="28"/>
          <w:szCs w:val="28"/>
        </w:rPr>
        <w:t>引入企业实践课程；充分利用校内外实践教学资源，优化实践教学内容，构建更加完善的实践教学体系。</w:t>
      </w:r>
    </w:p>
    <w:p w14:paraId="4BD14F98">
      <w:pPr>
        <w:widowControl/>
        <w:spacing w:line="360" w:lineRule="auto"/>
        <w:ind w:firstLine="562" w:firstLineChars="200"/>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7</w:t>
      </w:r>
      <w:r>
        <w:rPr>
          <w:rFonts w:hint="eastAsia" w:ascii="宋体" w:hAnsi="宋体" w:eastAsia="宋体" w:cs="宋体"/>
          <w:b/>
          <w:bCs/>
          <w:sz w:val="28"/>
          <w:szCs w:val="28"/>
        </w:rPr>
        <w:t>.</w:t>
      </w:r>
      <w:r>
        <w:rPr>
          <w:rFonts w:hint="eastAsia" w:ascii="宋体" w:hAnsi="宋体" w:eastAsia="宋体" w:cs="宋体"/>
          <w:b/>
          <w:bCs/>
          <w:sz w:val="28"/>
          <w:szCs w:val="28"/>
          <w:lang w:val="en-US" w:eastAsia="zh-CN"/>
        </w:rPr>
        <w:t>全</w:t>
      </w:r>
      <w:r>
        <w:rPr>
          <w:rFonts w:hint="eastAsia" w:ascii="宋体" w:hAnsi="宋体" w:cs="宋体"/>
          <w:b/>
          <w:bCs/>
          <w:sz w:val="28"/>
          <w:szCs w:val="28"/>
          <w:lang w:val="en-US" w:eastAsia="zh-CN"/>
        </w:rPr>
        <w:t>过程</w:t>
      </w:r>
      <w:r>
        <w:rPr>
          <w:rFonts w:hint="eastAsia" w:ascii="宋体" w:hAnsi="宋体" w:eastAsia="宋体" w:cs="宋体"/>
          <w:b/>
          <w:bCs/>
          <w:sz w:val="28"/>
          <w:szCs w:val="28"/>
        </w:rPr>
        <w:t>融入，</w:t>
      </w:r>
      <w:r>
        <w:rPr>
          <w:rFonts w:hint="eastAsia" w:ascii="宋体" w:hAnsi="宋体" w:cs="宋体"/>
          <w:b/>
          <w:bCs/>
          <w:sz w:val="28"/>
          <w:szCs w:val="28"/>
          <w:highlight w:val="none"/>
          <w:lang w:eastAsia="zh-CN"/>
        </w:rPr>
        <w:t>优化</w:t>
      </w:r>
      <w:r>
        <w:rPr>
          <w:rFonts w:hint="eastAsia" w:ascii="宋体" w:hAnsi="宋体" w:eastAsia="宋体" w:cs="宋体"/>
          <w:b/>
          <w:bCs/>
          <w:sz w:val="28"/>
          <w:szCs w:val="28"/>
          <w:highlight w:val="none"/>
        </w:rPr>
        <w:t>创新创业</w:t>
      </w:r>
      <w:r>
        <w:rPr>
          <w:rFonts w:hint="eastAsia" w:ascii="宋体" w:hAnsi="宋体" w:eastAsia="宋体" w:cs="宋体"/>
          <w:b/>
          <w:bCs/>
          <w:sz w:val="28"/>
          <w:szCs w:val="28"/>
          <w:highlight w:val="none"/>
          <w:lang w:eastAsia="zh-CN"/>
        </w:rPr>
        <w:t>教育</w:t>
      </w:r>
      <w:r>
        <w:rPr>
          <w:rFonts w:hint="eastAsia" w:ascii="宋体" w:hAnsi="宋体" w:cs="宋体"/>
          <w:b/>
          <w:bCs/>
          <w:sz w:val="28"/>
          <w:szCs w:val="28"/>
          <w:highlight w:val="none"/>
          <w:lang w:eastAsia="zh-CN"/>
        </w:rPr>
        <w:t>体系</w:t>
      </w:r>
      <w:r>
        <w:rPr>
          <w:rFonts w:hint="eastAsia" w:ascii="宋体" w:hAnsi="宋体" w:eastAsia="宋体" w:cs="宋体"/>
          <w:b/>
          <w:bCs/>
          <w:sz w:val="28"/>
          <w:szCs w:val="28"/>
          <w:highlight w:val="none"/>
        </w:rPr>
        <w:t>。</w:t>
      </w:r>
      <w:r>
        <w:rPr>
          <w:rFonts w:hint="eastAsia" w:ascii="宋体" w:hAnsi="宋体" w:eastAsia="宋体" w:cs="宋体"/>
          <w:sz w:val="28"/>
          <w:szCs w:val="28"/>
          <w:highlight w:val="none"/>
          <w:lang w:val="en-US" w:eastAsia="zh-CN"/>
        </w:rPr>
        <w:t>牢固树立创新创业教育理念，</w:t>
      </w:r>
      <w:r>
        <w:rPr>
          <w:rFonts w:hint="eastAsia" w:ascii="宋体" w:hAnsi="宋体" w:eastAsia="宋体" w:cs="宋体"/>
          <w:b w:val="0"/>
          <w:bCs w:val="0"/>
          <w:sz w:val="28"/>
          <w:szCs w:val="28"/>
          <w:highlight w:val="none"/>
          <w:lang w:eastAsia="zh-CN"/>
        </w:rPr>
        <w:t>强化第一课堂与第二课堂的有</w:t>
      </w:r>
      <w:r>
        <w:rPr>
          <w:rFonts w:hint="eastAsia" w:ascii="宋体" w:hAnsi="宋体" w:eastAsia="宋体" w:cs="宋体"/>
          <w:b w:val="0"/>
          <w:bCs w:val="0"/>
          <w:sz w:val="28"/>
          <w:szCs w:val="28"/>
          <w:lang w:eastAsia="zh-CN"/>
        </w:rPr>
        <w:t>机结合，将</w:t>
      </w:r>
      <w:r>
        <w:rPr>
          <w:rFonts w:hint="eastAsia" w:ascii="宋体" w:hAnsi="宋体" w:eastAsia="宋体" w:cs="宋体"/>
          <w:sz w:val="28"/>
          <w:szCs w:val="28"/>
        </w:rPr>
        <w:t>创新创业教育融入人才培养全过程</w:t>
      </w:r>
      <w:r>
        <w:rPr>
          <w:rFonts w:hint="eastAsia" w:ascii="宋体" w:hAnsi="宋体" w:eastAsia="宋体" w:cs="宋体"/>
          <w:sz w:val="28"/>
          <w:szCs w:val="28"/>
          <w:lang w:eastAsia="zh-CN"/>
        </w:rPr>
        <w:t>。各专业按培养目标设置创新创业相关课程和实践环节，</w:t>
      </w:r>
      <w:r>
        <w:rPr>
          <w:rFonts w:hint="eastAsia" w:ascii="宋体" w:hAnsi="宋体" w:eastAsia="宋体" w:cs="宋体"/>
          <w:sz w:val="28"/>
          <w:szCs w:val="28"/>
        </w:rPr>
        <w:t>激励学生参加创业实践、学科竞赛、</w:t>
      </w:r>
      <w:r>
        <w:rPr>
          <w:rFonts w:hint="eastAsia" w:ascii="宋体" w:hAnsi="宋体" w:eastAsia="宋体" w:cs="宋体"/>
          <w:sz w:val="28"/>
          <w:szCs w:val="28"/>
          <w:lang w:eastAsia="zh-CN"/>
        </w:rPr>
        <w:t>职业资格</w:t>
      </w:r>
      <w:r>
        <w:rPr>
          <w:rFonts w:hint="eastAsia" w:ascii="宋体" w:hAnsi="宋体" w:eastAsia="宋体" w:cs="宋体"/>
          <w:sz w:val="28"/>
          <w:szCs w:val="28"/>
        </w:rPr>
        <w:t>技能考试和撰写高水平学术论文等活动</w:t>
      </w:r>
      <w:r>
        <w:rPr>
          <w:rFonts w:hint="eastAsia" w:ascii="宋体" w:hAnsi="宋体" w:eastAsia="宋体" w:cs="宋体"/>
          <w:sz w:val="28"/>
          <w:szCs w:val="28"/>
          <w:lang w:eastAsia="zh-CN"/>
        </w:rPr>
        <w:t>，增强创业就业能力。</w:t>
      </w:r>
    </w:p>
    <w:p w14:paraId="7014955D">
      <w:pPr>
        <w:spacing w:line="360" w:lineRule="auto"/>
        <w:ind w:firstLine="559" w:firstLineChars="199"/>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二、修订重点</w:t>
      </w:r>
    </w:p>
    <w:p w14:paraId="69ED185D">
      <w:pPr>
        <w:spacing w:line="360" w:lineRule="auto"/>
        <w:ind w:firstLine="557" w:firstLineChars="19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在2018版本科生培养方案基础上，整体框架体系不进行大的调整，重点结合国内外高等教育改革的新要求、经济社会发展的新变化和就业岗位新需求，增强人才培养的社会适应性。本次修订重点如下：</w:t>
      </w:r>
    </w:p>
    <w:p w14:paraId="187C1213">
      <w:pPr>
        <w:widowControl/>
        <w:spacing w:line="360" w:lineRule="auto"/>
        <w:ind w:firstLine="562" w:firstLineChars="200"/>
        <w:rPr>
          <w:rFonts w:hint="eastAsia" w:ascii="宋体" w:hAnsi="宋体" w:eastAsia="宋体" w:cs="宋体"/>
          <w:b/>
          <w:color w:val="auto"/>
          <w:sz w:val="28"/>
          <w:szCs w:val="28"/>
        </w:rPr>
      </w:pPr>
      <w:r>
        <w:rPr>
          <w:rFonts w:hint="eastAsia" w:ascii="宋体" w:hAnsi="宋体" w:eastAsia="宋体" w:cs="宋体"/>
          <w:b/>
          <w:color w:val="auto"/>
          <w:sz w:val="28"/>
          <w:szCs w:val="28"/>
        </w:rPr>
        <w:t>（一）</w:t>
      </w:r>
      <w:r>
        <w:rPr>
          <w:rFonts w:hint="eastAsia" w:ascii="宋体" w:hAnsi="宋体" w:cs="宋体"/>
          <w:b/>
          <w:color w:val="auto"/>
          <w:sz w:val="28"/>
          <w:szCs w:val="28"/>
          <w:lang w:val="en-US" w:eastAsia="zh-CN"/>
        </w:rPr>
        <w:t>认证引领，重新审视</w:t>
      </w:r>
      <w:r>
        <w:rPr>
          <w:rFonts w:hint="eastAsia" w:ascii="宋体" w:hAnsi="宋体" w:eastAsia="宋体" w:cs="宋体"/>
          <w:b/>
          <w:color w:val="auto"/>
          <w:sz w:val="28"/>
          <w:szCs w:val="28"/>
        </w:rPr>
        <w:t>培养目标和毕业要求</w:t>
      </w:r>
    </w:p>
    <w:p w14:paraId="57B5D73F">
      <w:pPr>
        <w:spacing w:line="360" w:lineRule="auto"/>
        <w:ind w:firstLine="557" w:firstLineChars="199"/>
        <w:rPr>
          <w:rFonts w:hint="eastAsia" w:ascii="宋体" w:hAnsi="宋体" w:eastAsia="宋体" w:cs="宋体"/>
          <w:sz w:val="28"/>
          <w:szCs w:val="28"/>
          <w:lang w:val="en-US" w:eastAsia="zh-CN"/>
        </w:rPr>
      </w:pPr>
      <w:r>
        <w:rPr>
          <w:rFonts w:hint="eastAsia" w:ascii="宋体" w:hAnsi="宋体" w:eastAsia="宋体" w:cs="宋体"/>
          <w:sz w:val="28"/>
          <w:szCs w:val="28"/>
        </w:rPr>
        <w:t>1.培养目标</w:t>
      </w:r>
      <w:r>
        <w:rPr>
          <w:rFonts w:hint="eastAsia" w:ascii="宋体" w:hAnsi="宋体" w:eastAsia="宋体" w:cs="宋体"/>
          <w:sz w:val="28"/>
          <w:szCs w:val="28"/>
          <w:lang w:eastAsia="zh-CN"/>
        </w:rPr>
        <w:t>。培养目标是对毕业生毕业后</w:t>
      </w:r>
      <w:r>
        <w:rPr>
          <w:rFonts w:hint="eastAsia" w:ascii="宋体" w:hAnsi="宋体" w:eastAsia="宋体" w:cs="宋体"/>
          <w:sz w:val="28"/>
          <w:szCs w:val="28"/>
          <w:lang w:val="en-US" w:eastAsia="zh-CN"/>
        </w:rPr>
        <w:t>5年左右所能够达到的职业和专业成就的总体描述。各专业要</w:t>
      </w:r>
      <w:r>
        <w:rPr>
          <w:rFonts w:hint="eastAsia" w:ascii="宋体" w:hAnsi="宋体" w:eastAsia="宋体" w:cs="宋体"/>
          <w:sz w:val="28"/>
          <w:szCs w:val="28"/>
          <w:lang w:eastAsia="zh-CN"/>
        </w:rPr>
        <w:t>立足自身学科专业特色和优势，</w:t>
      </w:r>
      <w:r>
        <w:rPr>
          <w:rFonts w:hint="eastAsia" w:ascii="宋体" w:hAnsi="宋体" w:eastAsia="宋体" w:cs="宋体"/>
          <w:sz w:val="28"/>
          <w:szCs w:val="28"/>
          <w:lang w:val="en-US" w:eastAsia="zh-CN"/>
        </w:rPr>
        <w:t>按照</w:t>
      </w:r>
      <w:r>
        <w:rPr>
          <w:rFonts w:hint="eastAsia" w:ascii="宋体" w:hAnsi="宋体" w:cs="宋体"/>
          <w:sz w:val="28"/>
          <w:szCs w:val="28"/>
          <w:lang w:val="en-US" w:eastAsia="zh-CN"/>
        </w:rPr>
        <w:t>《国标》</w:t>
      </w:r>
      <w:r>
        <w:rPr>
          <w:rFonts w:hint="eastAsia" w:ascii="宋体" w:hAnsi="宋体" w:eastAsia="宋体" w:cs="宋体"/>
          <w:sz w:val="28"/>
          <w:szCs w:val="28"/>
        </w:rPr>
        <w:t>、专业</w:t>
      </w:r>
      <w:r>
        <w:rPr>
          <w:rFonts w:hint="eastAsia" w:ascii="宋体" w:hAnsi="宋体" w:cs="宋体"/>
          <w:sz w:val="28"/>
          <w:szCs w:val="28"/>
          <w:lang w:eastAsia="zh-CN"/>
        </w:rPr>
        <w:t>认证（评估）</w:t>
      </w:r>
      <w:r>
        <w:rPr>
          <w:rFonts w:hint="eastAsia" w:ascii="宋体" w:hAnsi="宋体" w:eastAsia="宋体" w:cs="宋体"/>
          <w:sz w:val="28"/>
          <w:szCs w:val="28"/>
        </w:rPr>
        <w:t>标准，</w:t>
      </w:r>
      <w:r>
        <w:rPr>
          <w:rFonts w:hint="eastAsia" w:ascii="宋体" w:hAnsi="宋体" w:eastAsia="宋体" w:cs="宋体"/>
          <w:sz w:val="28"/>
          <w:szCs w:val="28"/>
          <w:lang w:eastAsia="zh-CN"/>
        </w:rPr>
        <w:t>对照“新工科”、“新文科”建设标准和“六卓越一拔尖”计划</w:t>
      </w:r>
      <w:r>
        <w:rPr>
          <w:rFonts w:hint="eastAsia" w:ascii="宋体" w:hAnsi="宋体" w:eastAsia="宋体" w:cs="宋体"/>
          <w:sz w:val="28"/>
          <w:szCs w:val="28"/>
          <w:lang w:val="en-US" w:eastAsia="zh-CN"/>
        </w:rPr>
        <w:t>2.0新要求，</w:t>
      </w:r>
      <w:r>
        <w:rPr>
          <w:rFonts w:hint="eastAsia" w:ascii="宋体" w:hAnsi="宋体" w:eastAsia="宋体" w:cs="宋体"/>
          <w:sz w:val="28"/>
          <w:szCs w:val="28"/>
          <w:lang w:eastAsia="zh-CN"/>
        </w:rPr>
        <w:t>精心凝练、科学制定本</w:t>
      </w:r>
      <w:r>
        <w:rPr>
          <w:rFonts w:hint="eastAsia" w:ascii="宋体" w:hAnsi="宋体" w:eastAsia="宋体" w:cs="宋体"/>
          <w:sz w:val="28"/>
          <w:szCs w:val="28"/>
        </w:rPr>
        <w:t>专业</w:t>
      </w:r>
      <w:r>
        <w:rPr>
          <w:rFonts w:hint="eastAsia" w:ascii="宋体" w:hAnsi="宋体" w:eastAsia="宋体" w:cs="宋体"/>
          <w:sz w:val="28"/>
          <w:szCs w:val="28"/>
          <w:lang w:eastAsia="zh-CN"/>
        </w:rPr>
        <w:t>的</w:t>
      </w:r>
      <w:r>
        <w:rPr>
          <w:rFonts w:hint="eastAsia" w:ascii="宋体" w:hAnsi="宋体" w:eastAsia="宋体" w:cs="宋体"/>
          <w:sz w:val="28"/>
          <w:szCs w:val="28"/>
        </w:rPr>
        <w:t>人才培养目标</w:t>
      </w:r>
      <w:r>
        <w:rPr>
          <w:rFonts w:hint="eastAsia" w:ascii="宋体" w:hAnsi="宋体" w:eastAsia="宋体" w:cs="宋体"/>
          <w:sz w:val="28"/>
          <w:szCs w:val="28"/>
          <w:lang w:eastAsia="zh-CN"/>
        </w:rPr>
        <w:t>。培养目标制定要具体，要符合学校人才培养目标总体定位。</w:t>
      </w:r>
    </w:p>
    <w:p w14:paraId="68932C78">
      <w:pPr>
        <w:spacing w:line="360" w:lineRule="auto"/>
        <w:ind w:firstLine="559" w:firstLineChars="199"/>
        <w:rPr>
          <w:rFonts w:hint="eastAsia" w:ascii="宋体" w:hAnsi="宋体" w:eastAsia="宋体" w:cs="宋体"/>
          <w:color w:val="auto"/>
          <w:sz w:val="28"/>
          <w:szCs w:val="28"/>
          <w:highlight w:val="none"/>
          <w:lang w:eastAsia="zh-CN"/>
        </w:rPr>
      </w:pPr>
      <w:r>
        <w:rPr>
          <w:rFonts w:hint="eastAsia" w:ascii="宋体" w:hAnsi="宋体" w:eastAsia="宋体" w:cs="宋体"/>
          <w:b/>
          <w:bCs/>
          <w:color w:val="auto"/>
          <w:sz w:val="28"/>
          <w:szCs w:val="28"/>
          <w:highlight w:val="none"/>
        </w:rPr>
        <w:t>我校本科人才培养</w:t>
      </w:r>
      <w:r>
        <w:rPr>
          <w:rFonts w:hint="eastAsia" w:ascii="宋体" w:hAnsi="宋体" w:cs="宋体"/>
          <w:b/>
          <w:bCs/>
          <w:color w:val="auto"/>
          <w:sz w:val="28"/>
          <w:szCs w:val="28"/>
          <w:highlight w:val="none"/>
          <w:lang w:eastAsia="zh-CN"/>
        </w:rPr>
        <w:t>总体定位</w:t>
      </w:r>
      <w:r>
        <w:rPr>
          <w:rFonts w:hint="eastAsia" w:ascii="宋体" w:hAnsi="宋体" w:eastAsia="宋体" w:cs="宋体"/>
          <w:b/>
          <w:bCs/>
          <w:color w:val="auto"/>
          <w:sz w:val="28"/>
          <w:szCs w:val="28"/>
          <w:highlight w:val="none"/>
          <w:lang w:eastAsia="zh-CN"/>
        </w:rPr>
        <w:t>：</w:t>
      </w:r>
      <w:r>
        <w:rPr>
          <w:rFonts w:hint="eastAsia" w:ascii="宋体" w:hAnsi="宋体" w:cs="宋体"/>
          <w:color w:val="auto"/>
          <w:sz w:val="28"/>
          <w:szCs w:val="28"/>
          <w:highlight w:val="none"/>
          <w:lang w:eastAsia="zh-CN"/>
        </w:rPr>
        <w:t>适应经济社会和国家能源电力发展战略新要求和新需求，面向现代能源电力生产和现代化经济建设一线，分层分类培养具有坚定理想信念、家国情怀、国际视野和综合素养，德智体美劳全面发展，基础知识厚实，实践能力较强，适应行业发展变革的高水平人才</w:t>
      </w:r>
      <w:r>
        <w:rPr>
          <w:rFonts w:hint="eastAsia" w:ascii="宋体" w:hAnsi="宋体" w:eastAsia="宋体" w:cs="宋体"/>
          <w:color w:val="auto"/>
          <w:sz w:val="28"/>
          <w:szCs w:val="28"/>
          <w:highlight w:val="none"/>
          <w:lang w:eastAsia="zh-CN"/>
        </w:rPr>
        <w:t>。</w:t>
      </w:r>
    </w:p>
    <w:p w14:paraId="05582277">
      <w:pPr>
        <w:numPr>
          <w:ilvl w:val="0"/>
          <w:numId w:val="1"/>
        </w:numPr>
        <w:spacing w:line="360" w:lineRule="auto"/>
        <w:ind w:firstLine="557" w:firstLineChars="19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毕业要求。毕业要求是对学</w:t>
      </w:r>
      <w:r>
        <w:rPr>
          <w:rFonts w:hint="eastAsia" w:ascii="宋体" w:hAnsi="宋体" w:cs="宋体"/>
          <w:sz w:val="28"/>
          <w:szCs w:val="28"/>
          <w:lang w:val="en-US" w:eastAsia="zh-CN"/>
        </w:rPr>
        <w:t>生</w:t>
      </w:r>
      <w:r>
        <w:rPr>
          <w:rFonts w:hint="eastAsia" w:ascii="宋体" w:hAnsi="宋体" w:eastAsia="宋体" w:cs="宋体"/>
          <w:sz w:val="28"/>
          <w:szCs w:val="28"/>
          <w:lang w:val="en-US" w:eastAsia="zh-CN"/>
        </w:rPr>
        <w:t>毕业时应当掌握的知识、能力和素养，且该能力和素养可以通过学生的学习成果和表现判定其达成情况的总体描述。制定本专业的毕业要求，除满足《国标》要求之外，工科类专业还应满足工程教育认证标准及专业类补充标准，非工科专业还应满足其他类型的专业</w:t>
      </w:r>
      <w:r>
        <w:rPr>
          <w:rFonts w:hint="eastAsia" w:ascii="宋体" w:hAnsi="宋体" w:cs="宋体"/>
          <w:sz w:val="28"/>
          <w:szCs w:val="28"/>
          <w:lang w:val="en-US" w:eastAsia="zh-CN"/>
        </w:rPr>
        <w:t>认证（评估）</w:t>
      </w:r>
      <w:r>
        <w:rPr>
          <w:rFonts w:hint="eastAsia" w:ascii="宋体" w:hAnsi="宋体" w:eastAsia="宋体" w:cs="宋体"/>
          <w:sz w:val="28"/>
          <w:szCs w:val="28"/>
          <w:lang w:val="en-US" w:eastAsia="zh-CN"/>
        </w:rPr>
        <w:t>标准。</w:t>
      </w:r>
    </w:p>
    <w:p w14:paraId="22EFC98D">
      <w:pPr>
        <w:numPr>
          <w:ilvl w:val="0"/>
          <w:numId w:val="0"/>
        </w:numPr>
        <w:spacing w:line="360" w:lineRule="auto"/>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通过使用矩阵图的形式明确培养目标、毕业要求、课程体系三者之间的对应支撑关系。</w:t>
      </w:r>
    </w:p>
    <w:p w14:paraId="1A2FA5A7">
      <w:pPr>
        <w:widowControl/>
        <w:numPr>
          <w:ilvl w:val="0"/>
          <w:numId w:val="2"/>
        </w:numPr>
        <w:spacing w:line="360" w:lineRule="auto"/>
        <w:ind w:firstLine="562" w:firstLineChars="200"/>
        <w:rPr>
          <w:rFonts w:hint="eastAsia" w:ascii="宋体" w:hAnsi="宋体" w:eastAsia="宋体" w:cs="宋体"/>
          <w:b/>
          <w:sz w:val="28"/>
          <w:szCs w:val="28"/>
          <w:lang w:eastAsia="zh-CN"/>
        </w:rPr>
      </w:pPr>
      <w:r>
        <w:rPr>
          <w:rFonts w:hint="eastAsia" w:ascii="宋体" w:hAnsi="宋体" w:eastAsia="宋体" w:cs="宋体"/>
          <w:b/>
          <w:sz w:val="28"/>
          <w:szCs w:val="28"/>
          <w:lang w:eastAsia="zh-CN"/>
        </w:rPr>
        <w:t>五育并举，完善</w:t>
      </w:r>
      <w:r>
        <w:rPr>
          <w:rFonts w:hint="eastAsia" w:ascii="宋体" w:hAnsi="宋体" w:eastAsia="宋体" w:cs="宋体"/>
          <w:b/>
          <w:sz w:val="28"/>
          <w:szCs w:val="28"/>
        </w:rPr>
        <w:t>通识</w:t>
      </w:r>
      <w:r>
        <w:rPr>
          <w:rFonts w:hint="eastAsia" w:ascii="宋体" w:hAnsi="宋体" w:eastAsia="宋体" w:cs="宋体"/>
          <w:b/>
          <w:sz w:val="28"/>
          <w:szCs w:val="28"/>
          <w:lang w:eastAsia="zh-CN"/>
        </w:rPr>
        <w:t>教育课程体系</w:t>
      </w:r>
    </w:p>
    <w:p w14:paraId="06E6C5AA">
      <w:pPr>
        <w:ind w:firstLine="570"/>
        <w:rPr>
          <w:rFonts w:hint="eastAsia" w:ascii="宋体" w:hAnsi="宋体" w:cs="宋体"/>
          <w:i w:val="0"/>
          <w:iCs w:val="0"/>
          <w:caps w:val="0"/>
          <w:color w:val="auto"/>
          <w:spacing w:val="0"/>
          <w:sz w:val="28"/>
          <w:szCs w:val="28"/>
          <w:highlight w:val="yellow"/>
          <w:shd w:val="clear" w:fill="FFFFFF"/>
          <w:lang w:eastAsia="zh-CN"/>
        </w:rPr>
      </w:pPr>
      <w:r>
        <w:rPr>
          <w:rFonts w:hint="eastAsia" w:ascii="宋体" w:hAnsi="宋体" w:eastAsia="宋体" w:cs="宋体"/>
          <w:sz w:val="28"/>
          <w:szCs w:val="28"/>
        </w:rPr>
        <w:t>通识教育课程旨在全面提高学生综合素质</w:t>
      </w:r>
      <w:r>
        <w:rPr>
          <w:rFonts w:hint="eastAsia" w:ascii="宋体" w:hAnsi="宋体" w:eastAsia="宋体" w:cs="宋体"/>
          <w:sz w:val="28"/>
          <w:szCs w:val="28"/>
          <w:lang w:eastAsia="zh-CN"/>
        </w:rPr>
        <w:t>。引导思想政治理论课创新、结合大数据和人工智能等热点改革大学生计算机类课程、推行大学英语分类教学、深入推进体育和美育教学改革、加强劳动理论和观念教育。</w:t>
      </w:r>
      <w:r>
        <w:rPr>
          <w:rFonts w:hint="eastAsia" w:ascii="宋体" w:hAnsi="宋体" w:eastAsia="宋体" w:cs="宋体"/>
          <w:i w:val="0"/>
          <w:iCs w:val="0"/>
          <w:caps w:val="0"/>
          <w:color w:val="auto"/>
          <w:spacing w:val="0"/>
          <w:sz w:val="28"/>
          <w:szCs w:val="28"/>
          <w:highlight w:val="none"/>
          <w:shd w:val="clear" w:fill="FFFFFF"/>
        </w:rPr>
        <w:t>完善通识选修课程模块，丰富通识选修课程</w:t>
      </w:r>
      <w:r>
        <w:rPr>
          <w:rFonts w:hint="eastAsia" w:ascii="宋体" w:hAnsi="宋体" w:eastAsia="宋体" w:cs="宋体"/>
          <w:i w:val="0"/>
          <w:iCs w:val="0"/>
          <w:caps w:val="0"/>
          <w:color w:val="auto"/>
          <w:spacing w:val="0"/>
          <w:sz w:val="28"/>
          <w:szCs w:val="28"/>
          <w:highlight w:val="none"/>
          <w:shd w:val="clear" w:fill="FFFFFF"/>
          <w:lang w:eastAsia="zh-CN"/>
        </w:rPr>
        <w:t>，</w:t>
      </w:r>
      <w:r>
        <w:rPr>
          <w:rFonts w:hint="eastAsia" w:ascii="宋体" w:hAnsi="宋体" w:cs="宋体"/>
          <w:i w:val="0"/>
          <w:iCs w:val="0"/>
          <w:caps w:val="0"/>
          <w:color w:val="auto"/>
          <w:spacing w:val="0"/>
          <w:sz w:val="28"/>
          <w:szCs w:val="28"/>
          <w:highlight w:val="none"/>
          <w:shd w:val="clear" w:fill="FFFFFF"/>
          <w:lang w:eastAsia="zh-CN"/>
        </w:rPr>
        <w:t>围绕学生的人文素养、科学素养和审美能力提升，进行课程方案设置。相关通识课程结合课程特点，对学生进行马克思主义劳动观教育，使学生树立科学的劳动价值观和爱岗敬业的劳动态度。</w:t>
      </w:r>
    </w:p>
    <w:p w14:paraId="7A8510FE">
      <w:pPr>
        <w:widowControl/>
        <w:numPr>
          <w:ilvl w:val="0"/>
          <w:numId w:val="0"/>
        </w:numPr>
        <w:spacing w:line="360" w:lineRule="auto"/>
        <w:ind w:firstLine="562" w:firstLineChars="200"/>
        <w:rPr>
          <w:rFonts w:hint="eastAsia" w:ascii="宋体" w:hAnsi="宋体" w:eastAsia="宋体" w:cs="宋体"/>
          <w:b/>
          <w:sz w:val="28"/>
          <w:szCs w:val="28"/>
          <w:highlight w:val="yellow"/>
          <w:lang w:eastAsia="zh-CN"/>
        </w:rPr>
      </w:pPr>
      <w:r>
        <w:rPr>
          <w:rFonts w:hint="eastAsia" w:ascii="宋体" w:hAnsi="宋体" w:eastAsia="宋体" w:cs="宋体"/>
          <w:b/>
          <w:sz w:val="28"/>
          <w:szCs w:val="28"/>
        </w:rPr>
        <w:t>（三）</w:t>
      </w:r>
      <w:r>
        <w:rPr>
          <w:rFonts w:hint="eastAsia" w:ascii="宋体" w:hAnsi="宋体" w:eastAsia="宋体" w:cs="宋体"/>
          <w:b/>
          <w:sz w:val="28"/>
          <w:szCs w:val="28"/>
          <w:lang w:eastAsia="zh-CN"/>
        </w:rPr>
        <w:t>面向大类培养，全面梳理</w:t>
      </w:r>
      <w:r>
        <w:rPr>
          <w:rFonts w:hint="eastAsia" w:ascii="宋体" w:hAnsi="宋体" w:eastAsia="宋体" w:cs="宋体"/>
          <w:b/>
          <w:sz w:val="28"/>
          <w:szCs w:val="28"/>
          <w:highlight w:val="none"/>
          <w:lang w:eastAsia="zh-CN"/>
        </w:rPr>
        <w:t>课程体系</w:t>
      </w:r>
    </w:p>
    <w:p w14:paraId="5267C59E">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color w:val="auto"/>
          <w:sz w:val="28"/>
          <w:szCs w:val="28"/>
        </w:rPr>
        <w:t>1.学科基础课程要</w:t>
      </w:r>
      <w:r>
        <w:rPr>
          <w:rFonts w:hint="eastAsia" w:ascii="宋体" w:hAnsi="宋体" w:eastAsia="宋体" w:cs="宋体"/>
          <w:sz w:val="28"/>
          <w:szCs w:val="28"/>
        </w:rPr>
        <w:t>适应按专业大类培养的整体思路</w:t>
      </w:r>
      <w:r>
        <w:rPr>
          <w:rFonts w:hint="eastAsia" w:ascii="宋体" w:hAnsi="宋体" w:eastAsia="宋体" w:cs="宋体"/>
          <w:sz w:val="28"/>
          <w:szCs w:val="28"/>
          <w:lang w:eastAsia="zh-CN"/>
        </w:rPr>
        <w:t>进行设计。在学院内部，同一个学科大类的专业，课程设置</w:t>
      </w:r>
      <w:r>
        <w:rPr>
          <w:rFonts w:hint="eastAsia" w:ascii="宋体" w:hAnsi="宋体" w:eastAsia="宋体" w:cs="宋体"/>
          <w:sz w:val="28"/>
          <w:szCs w:val="28"/>
        </w:rPr>
        <w:t>由学院根据学科特色和专业基础知识需要进行搭设。</w:t>
      </w:r>
    </w:p>
    <w:p w14:paraId="5C692712">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2.专业核心课程要满足学生深度学习需求，构建最能体现本专业特点的核心课程5-7门，同时优化学分设置。</w:t>
      </w:r>
    </w:p>
    <w:p w14:paraId="5BEECCD9">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3.专业课程、专业选修课程应充分体现学校人才培养特色，有机融入创新创业、双证融通、课程思政等教育教学理念。</w:t>
      </w:r>
    </w:p>
    <w:p w14:paraId="325ED62C">
      <w:pPr>
        <w:widowControl/>
        <w:spacing w:line="360" w:lineRule="auto"/>
        <w:ind w:firstLine="560" w:firstLineChars="200"/>
        <w:rPr>
          <w:rFonts w:hint="eastAsia" w:ascii="宋体" w:hAnsi="宋体" w:eastAsia="宋体" w:cs="宋体"/>
          <w:color w:val="auto"/>
          <w:sz w:val="28"/>
          <w:szCs w:val="28"/>
        </w:rPr>
      </w:pPr>
      <w:r>
        <w:rPr>
          <w:rFonts w:hint="eastAsia" w:ascii="宋体" w:hAnsi="宋体" w:cs="宋体"/>
          <w:sz w:val="28"/>
          <w:szCs w:val="28"/>
          <w:lang w:val="en-US" w:eastAsia="zh-CN"/>
        </w:rPr>
        <w:t>4</w:t>
      </w:r>
      <w:r>
        <w:rPr>
          <w:rFonts w:hint="eastAsia" w:ascii="宋体" w:hAnsi="宋体" w:eastAsia="宋体" w:cs="宋体"/>
          <w:sz w:val="28"/>
          <w:szCs w:val="28"/>
        </w:rPr>
        <w:t>.集中实践课程主要包括课程设计、</w:t>
      </w:r>
      <w:r>
        <w:rPr>
          <w:rFonts w:hint="eastAsia" w:ascii="宋体" w:hAnsi="宋体" w:cs="宋体"/>
          <w:sz w:val="28"/>
          <w:szCs w:val="28"/>
          <w:lang w:eastAsia="zh-CN"/>
        </w:rPr>
        <w:t>工程实训、</w:t>
      </w:r>
      <w:r>
        <w:rPr>
          <w:rFonts w:hint="eastAsia" w:ascii="宋体" w:hAnsi="宋体" w:eastAsia="宋体" w:cs="宋体"/>
          <w:sz w:val="28"/>
          <w:szCs w:val="28"/>
        </w:rPr>
        <w:t>大型作业、认识实习、生产实习、社会调查、毕业实习、毕业设计（论文）等。</w:t>
      </w:r>
    </w:p>
    <w:p w14:paraId="7739F61A">
      <w:pPr>
        <w:widowControl/>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各专业可以根据专业特点，开展多样化实习形式改革，并制订详细实习计划与方案以确保实习的质量与成效。同时，加强毕业实践教学环节的有效性和教学质量监控。认证与评估专业应参照专业认证或评估要求执行。</w:t>
      </w:r>
    </w:p>
    <w:p w14:paraId="6F6205A8">
      <w:pPr>
        <w:widowControl/>
        <w:numPr>
          <w:ilvl w:val="0"/>
          <w:numId w:val="0"/>
        </w:numPr>
        <w:spacing w:line="360" w:lineRule="auto"/>
        <w:ind w:firstLine="560" w:firstLineChars="200"/>
        <w:rPr>
          <w:rFonts w:hint="eastAsia" w:ascii="宋体" w:hAnsi="宋体" w:eastAsia="宋体" w:cs="宋体"/>
          <w:i w:val="0"/>
          <w:iCs w:val="0"/>
          <w:caps w:val="0"/>
          <w:color w:val="212121"/>
          <w:spacing w:val="0"/>
          <w:sz w:val="28"/>
          <w:szCs w:val="28"/>
          <w:shd w:val="clear" w:fill="FFFFFF"/>
          <w:lang w:eastAsia="zh-CN"/>
        </w:rPr>
      </w:pPr>
      <w:r>
        <w:rPr>
          <w:rFonts w:hint="eastAsia" w:ascii="宋体" w:hAnsi="宋体" w:cs="宋体"/>
          <w:i w:val="0"/>
          <w:iCs w:val="0"/>
          <w:caps w:val="0"/>
          <w:color w:val="212121"/>
          <w:spacing w:val="0"/>
          <w:sz w:val="28"/>
          <w:szCs w:val="28"/>
          <w:shd w:val="clear" w:fill="FFFFFF"/>
          <w:lang w:val="en-US" w:eastAsia="zh-CN"/>
        </w:rPr>
        <w:t>5.</w:t>
      </w:r>
      <w:r>
        <w:rPr>
          <w:rFonts w:hint="eastAsia" w:ascii="宋体" w:hAnsi="宋体" w:eastAsia="宋体" w:cs="宋体"/>
          <w:i w:val="0"/>
          <w:iCs w:val="0"/>
          <w:caps w:val="0"/>
          <w:color w:val="212121"/>
          <w:spacing w:val="0"/>
          <w:sz w:val="28"/>
          <w:szCs w:val="28"/>
          <w:shd w:val="clear" w:fill="FFFFFF"/>
        </w:rPr>
        <w:t>将劳动要素融入专业教育，构建具有本专业特色的劳动教育体系</w:t>
      </w:r>
      <w:r>
        <w:rPr>
          <w:rFonts w:hint="eastAsia" w:ascii="宋体" w:hAnsi="宋体" w:eastAsia="宋体" w:cs="宋体"/>
          <w:i w:val="0"/>
          <w:iCs w:val="0"/>
          <w:caps w:val="0"/>
          <w:color w:val="212121"/>
          <w:spacing w:val="0"/>
          <w:sz w:val="28"/>
          <w:szCs w:val="28"/>
          <w:shd w:val="clear" w:fill="FFFFFF"/>
          <w:lang w:eastAsia="zh-CN"/>
        </w:rPr>
        <w:t>，</w:t>
      </w:r>
      <w:r>
        <w:rPr>
          <w:rStyle w:val="7"/>
          <w:rFonts w:hint="eastAsia" w:ascii="宋体" w:hAnsi="宋体" w:eastAsia="宋体" w:cs="宋体"/>
          <w:b w:val="0"/>
          <w:bCs/>
          <w:i w:val="0"/>
          <w:iCs w:val="0"/>
          <w:caps w:val="0"/>
          <w:color w:val="212121"/>
          <w:spacing w:val="0"/>
          <w:sz w:val="28"/>
          <w:szCs w:val="28"/>
          <w:highlight w:val="none"/>
          <w:shd w:val="clear" w:fill="FFFFFF"/>
        </w:rPr>
        <w:t>各专业至少确定</w:t>
      </w:r>
      <w:r>
        <w:rPr>
          <w:rStyle w:val="7"/>
          <w:rFonts w:hint="eastAsia" w:ascii="宋体" w:hAnsi="宋体" w:eastAsia="宋体" w:cs="宋体"/>
          <w:b w:val="0"/>
          <w:bCs/>
          <w:i w:val="0"/>
          <w:iCs w:val="0"/>
          <w:caps w:val="0"/>
          <w:color w:val="212121"/>
          <w:spacing w:val="0"/>
          <w:sz w:val="28"/>
          <w:szCs w:val="28"/>
          <w:highlight w:val="none"/>
          <w:shd w:val="clear" w:fill="FFFFFF"/>
          <w:lang w:val="en-US" w:eastAsia="zh-CN"/>
        </w:rPr>
        <w:t>2</w:t>
      </w:r>
      <w:r>
        <w:rPr>
          <w:rStyle w:val="7"/>
          <w:rFonts w:hint="eastAsia" w:ascii="宋体" w:hAnsi="宋体" w:eastAsia="宋体" w:cs="宋体"/>
          <w:b w:val="0"/>
          <w:bCs/>
          <w:i w:val="0"/>
          <w:iCs w:val="0"/>
          <w:caps w:val="0"/>
          <w:color w:val="212121"/>
          <w:spacing w:val="0"/>
          <w:sz w:val="28"/>
          <w:szCs w:val="28"/>
          <w:highlight w:val="none"/>
          <w:shd w:val="clear" w:fill="FFFFFF"/>
        </w:rPr>
        <w:t>门</w:t>
      </w:r>
      <w:r>
        <w:rPr>
          <w:rStyle w:val="7"/>
          <w:rFonts w:hint="eastAsia" w:ascii="宋体" w:hAnsi="宋体" w:eastAsia="宋体" w:cs="宋体"/>
          <w:b w:val="0"/>
          <w:bCs/>
          <w:i w:val="0"/>
          <w:iCs w:val="0"/>
          <w:caps w:val="0"/>
          <w:color w:val="212121"/>
          <w:spacing w:val="0"/>
          <w:sz w:val="28"/>
          <w:szCs w:val="28"/>
          <w:highlight w:val="none"/>
          <w:shd w:val="clear" w:fill="FFFFFF"/>
          <w:lang w:eastAsia="zh-CN"/>
        </w:rPr>
        <w:t>实践</w:t>
      </w:r>
      <w:r>
        <w:rPr>
          <w:rStyle w:val="7"/>
          <w:rFonts w:hint="eastAsia" w:ascii="宋体" w:hAnsi="宋体" w:eastAsia="宋体" w:cs="宋体"/>
          <w:b w:val="0"/>
          <w:bCs/>
          <w:i w:val="0"/>
          <w:iCs w:val="0"/>
          <w:caps w:val="0"/>
          <w:color w:val="212121"/>
          <w:spacing w:val="0"/>
          <w:sz w:val="28"/>
          <w:szCs w:val="28"/>
          <w:highlight w:val="none"/>
          <w:shd w:val="clear" w:fill="FFFFFF"/>
        </w:rPr>
        <w:t>课程，</w:t>
      </w:r>
      <w:r>
        <w:rPr>
          <w:rFonts w:hint="eastAsia" w:ascii="宋体" w:hAnsi="宋体" w:eastAsia="宋体" w:cs="宋体"/>
          <w:i w:val="0"/>
          <w:iCs w:val="0"/>
          <w:caps w:val="0"/>
          <w:color w:val="212121"/>
          <w:spacing w:val="0"/>
          <w:sz w:val="28"/>
          <w:szCs w:val="28"/>
          <w:highlight w:val="none"/>
          <w:shd w:val="clear" w:fill="FFFFFF"/>
        </w:rPr>
        <w:t>作为“劳动教育依托课程”，</w:t>
      </w:r>
      <w:r>
        <w:rPr>
          <w:rFonts w:hint="eastAsia" w:ascii="宋体" w:hAnsi="宋体" w:eastAsia="宋体" w:cs="宋体"/>
          <w:i w:val="0"/>
          <w:iCs w:val="0"/>
          <w:caps w:val="0"/>
          <w:color w:val="212121"/>
          <w:spacing w:val="0"/>
          <w:sz w:val="28"/>
          <w:szCs w:val="28"/>
          <w:shd w:val="clear" w:fill="FFFFFF"/>
        </w:rPr>
        <w:t>明确劳动教育的目标、内容、形式和考核要求，使学生</w:t>
      </w:r>
      <w:r>
        <w:rPr>
          <w:rFonts w:hint="eastAsia" w:ascii="宋体" w:hAnsi="宋体" w:eastAsia="宋体" w:cs="宋体"/>
          <w:i w:val="0"/>
          <w:iCs w:val="0"/>
          <w:caps w:val="0"/>
          <w:color w:val="212121"/>
          <w:spacing w:val="0"/>
          <w:sz w:val="28"/>
          <w:szCs w:val="28"/>
          <w:shd w:val="clear" w:fill="FFFFFF"/>
          <w:lang w:eastAsia="zh-CN"/>
        </w:rPr>
        <w:t>了解产业发展</w:t>
      </w:r>
      <w:r>
        <w:rPr>
          <w:rFonts w:hint="eastAsia" w:ascii="宋体" w:hAnsi="宋体" w:eastAsia="宋体" w:cs="宋体"/>
          <w:i w:val="0"/>
          <w:iCs w:val="0"/>
          <w:caps w:val="0"/>
          <w:color w:val="212121"/>
          <w:spacing w:val="0"/>
          <w:sz w:val="28"/>
          <w:szCs w:val="28"/>
          <w:shd w:val="clear" w:fill="FFFFFF"/>
        </w:rPr>
        <w:t>，</w:t>
      </w:r>
      <w:r>
        <w:rPr>
          <w:rFonts w:hint="eastAsia" w:ascii="宋体" w:hAnsi="宋体" w:eastAsia="宋体" w:cs="宋体"/>
          <w:i w:val="0"/>
          <w:iCs w:val="0"/>
          <w:caps w:val="0"/>
          <w:color w:val="212121"/>
          <w:spacing w:val="0"/>
          <w:sz w:val="28"/>
          <w:szCs w:val="28"/>
          <w:shd w:val="clear" w:fill="FFFFFF"/>
          <w:lang w:eastAsia="zh-CN"/>
        </w:rPr>
        <w:t>工艺创新，</w:t>
      </w:r>
      <w:r>
        <w:rPr>
          <w:rFonts w:hint="eastAsia" w:ascii="宋体" w:hAnsi="宋体" w:eastAsia="宋体" w:cs="宋体"/>
          <w:i w:val="0"/>
          <w:iCs w:val="0"/>
          <w:caps w:val="0"/>
          <w:color w:val="212121"/>
          <w:spacing w:val="0"/>
          <w:sz w:val="28"/>
          <w:szCs w:val="28"/>
          <w:shd w:val="clear" w:fill="FFFFFF"/>
        </w:rPr>
        <w:t>积累职业经验，提升就业创业能力</w:t>
      </w:r>
      <w:r>
        <w:rPr>
          <w:rFonts w:hint="eastAsia" w:ascii="宋体" w:hAnsi="宋体" w:eastAsia="宋体" w:cs="宋体"/>
          <w:i w:val="0"/>
          <w:iCs w:val="0"/>
          <w:caps w:val="0"/>
          <w:color w:val="212121"/>
          <w:spacing w:val="0"/>
          <w:sz w:val="28"/>
          <w:szCs w:val="28"/>
          <w:shd w:val="clear" w:fill="FFFFFF"/>
          <w:lang w:eastAsia="zh-CN"/>
        </w:rPr>
        <w:t>。</w:t>
      </w:r>
    </w:p>
    <w:p w14:paraId="22F79DC3">
      <w:pPr>
        <w:widowControl/>
        <w:numPr>
          <w:ilvl w:val="0"/>
          <w:numId w:val="0"/>
        </w:numPr>
        <w:spacing w:line="360" w:lineRule="auto"/>
        <w:ind w:firstLine="560" w:firstLineChars="200"/>
        <w:rPr>
          <w:rFonts w:hint="default" w:ascii="宋体" w:hAnsi="宋体" w:eastAsia="宋体" w:cs="宋体"/>
          <w:i w:val="0"/>
          <w:iCs w:val="0"/>
          <w:caps w:val="0"/>
          <w:color w:val="212121"/>
          <w:spacing w:val="0"/>
          <w:sz w:val="28"/>
          <w:szCs w:val="28"/>
          <w:shd w:val="clear" w:fill="FFFFFF"/>
          <w:lang w:val="en-US" w:eastAsia="zh-CN"/>
        </w:rPr>
      </w:pPr>
      <w:r>
        <w:rPr>
          <w:rFonts w:hint="eastAsia" w:ascii="宋体" w:hAnsi="宋体" w:cs="宋体"/>
          <w:i w:val="0"/>
          <w:iCs w:val="0"/>
          <w:caps w:val="0"/>
          <w:color w:val="212121"/>
          <w:spacing w:val="0"/>
          <w:sz w:val="28"/>
          <w:szCs w:val="28"/>
          <w:shd w:val="clear" w:fill="FFFFFF"/>
          <w:lang w:val="en-US" w:eastAsia="zh-CN"/>
        </w:rPr>
        <w:t>上述改革内容需体现在培养方案和教学大纲中。</w:t>
      </w:r>
    </w:p>
    <w:p w14:paraId="3C842261">
      <w:pPr>
        <w:widowControl/>
        <w:spacing w:line="384"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三、学制、学分和学时安排</w:t>
      </w:r>
    </w:p>
    <w:p w14:paraId="739D1229">
      <w:pPr>
        <w:widowControl/>
        <w:spacing w:line="384"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（一）学制与修业年限</w:t>
      </w:r>
    </w:p>
    <w:p w14:paraId="6ED3B9A7">
      <w:pPr>
        <w:widowControl/>
        <w:spacing w:line="384" w:lineRule="auto"/>
        <w:ind w:firstLine="840" w:firstLineChars="300"/>
        <w:rPr>
          <w:rFonts w:hint="eastAsia" w:ascii="宋体" w:hAnsi="宋体" w:eastAsia="宋体" w:cs="宋体"/>
          <w:sz w:val="28"/>
          <w:szCs w:val="28"/>
          <w:highlight w:val="none"/>
        </w:rPr>
      </w:pPr>
      <w:r>
        <w:rPr>
          <w:rFonts w:hint="eastAsia" w:ascii="宋体" w:hAnsi="宋体" w:eastAsia="宋体" w:cs="宋体"/>
          <w:sz w:val="28"/>
          <w:szCs w:val="28"/>
          <w:highlight w:val="none"/>
        </w:rPr>
        <w:t>基本学制4年，学生可在3-6年内完成学业。</w:t>
      </w:r>
    </w:p>
    <w:p w14:paraId="71FC2B89">
      <w:pPr>
        <w:widowControl/>
        <w:spacing w:line="384"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（二）学分与学时要求</w:t>
      </w:r>
    </w:p>
    <w:p w14:paraId="63220515">
      <w:pPr>
        <w:widowControl/>
        <w:spacing w:line="384" w:lineRule="auto"/>
        <w:ind w:firstLine="638" w:firstLineChars="228"/>
        <w:rPr>
          <w:rFonts w:hint="eastAsia" w:ascii="宋体" w:hAnsi="宋体" w:eastAsia="宋体" w:cs="宋体"/>
          <w:sz w:val="28"/>
          <w:szCs w:val="28"/>
          <w:highlight w:val="none"/>
        </w:rPr>
      </w:pPr>
      <w:r>
        <w:rPr>
          <w:rFonts w:hint="eastAsia" w:ascii="宋体" w:hAnsi="宋体" w:eastAsia="宋体" w:cs="宋体"/>
          <w:sz w:val="28"/>
          <w:szCs w:val="28"/>
          <w:highlight w:val="none"/>
        </w:rPr>
        <w:t>1.各专业总学分学时要求</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见表1</w:t>
      </w:r>
      <w:r>
        <w:rPr>
          <w:rFonts w:hint="eastAsia" w:ascii="宋体" w:hAnsi="宋体" w:cs="宋体"/>
          <w:sz w:val="28"/>
          <w:szCs w:val="28"/>
          <w:highlight w:val="none"/>
          <w:lang w:eastAsia="zh-CN"/>
        </w:rPr>
        <w:t>）</w:t>
      </w:r>
    </w:p>
    <w:tbl>
      <w:tblPr>
        <w:tblStyle w:val="5"/>
        <w:tblpPr w:leftFromText="180" w:rightFromText="180" w:vertAnchor="text" w:horzAnchor="page" w:tblpX="2552" w:tblpY="473"/>
        <w:tblOverlap w:val="never"/>
        <w:tblW w:w="0" w:type="auto"/>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777"/>
        <w:gridCol w:w="1812"/>
        <w:gridCol w:w="3178"/>
      </w:tblGrid>
      <w:tr w14:paraId="28A49A6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8" w:hRule="atLeast"/>
        </w:trPr>
        <w:tc>
          <w:tcPr>
            <w:tcW w:w="2777" w:type="dxa"/>
            <w:tcBorders>
              <w:top w:val="single" w:color="auto" w:sz="6" w:space="0"/>
              <w:left w:val="single" w:color="auto" w:sz="6" w:space="0"/>
              <w:bottom w:val="outset" w:color="auto" w:sz="6" w:space="0"/>
              <w:right w:val="single" w:color="auto" w:sz="6" w:space="0"/>
            </w:tcBorders>
            <w:noWrap w:val="0"/>
            <w:tcMar>
              <w:top w:w="0" w:type="dxa"/>
              <w:left w:w="105" w:type="dxa"/>
              <w:bottom w:w="0" w:type="dxa"/>
              <w:right w:w="105" w:type="dxa"/>
            </w:tcMar>
            <w:vAlign w:val="center"/>
          </w:tcPr>
          <w:p w14:paraId="1FD3D73D">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bCs/>
                <w:color w:val="000000"/>
                <w:kern w:val="0"/>
                <w:sz w:val="24"/>
                <w:szCs w:val="24"/>
                <w:highlight w:val="none"/>
              </w:rPr>
              <w:t>专业类别</w:t>
            </w:r>
          </w:p>
        </w:tc>
        <w:tc>
          <w:tcPr>
            <w:tcW w:w="1812" w:type="dxa"/>
            <w:tcBorders>
              <w:top w:val="single" w:color="auto" w:sz="6" w:space="0"/>
              <w:left w:val="single" w:color="auto" w:sz="0" w:space="0"/>
              <w:bottom w:val="single" w:color="auto" w:sz="6" w:space="0"/>
              <w:right w:val="single" w:color="auto" w:sz="6" w:space="0"/>
            </w:tcBorders>
            <w:noWrap w:val="0"/>
            <w:tcMar>
              <w:top w:w="0" w:type="dxa"/>
              <w:left w:w="105" w:type="dxa"/>
              <w:bottom w:w="0" w:type="dxa"/>
              <w:right w:w="105" w:type="dxa"/>
            </w:tcMar>
            <w:vAlign w:val="center"/>
          </w:tcPr>
          <w:p w14:paraId="4C952FF3">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bCs/>
                <w:color w:val="000000"/>
                <w:kern w:val="0"/>
                <w:sz w:val="24"/>
                <w:szCs w:val="24"/>
                <w:highlight w:val="none"/>
              </w:rPr>
              <w:t>总学分</w:t>
            </w:r>
          </w:p>
        </w:tc>
        <w:tc>
          <w:tcPr>
            <w:tcW w:w="3178" w:type="dxa"/>
            <w:tcBorders>
              <w:top w:val="single" w:color="auto" w:sz="6" w:space="0"/>
              <w:left w:val="single" w:color="auto" w:sz="0" w:space="0"/>
              <w:bottom w:val="single" w:color="auto" w:sz="6" w:space="0"/>
              <w:right w:val="single" w:color="auto" w:sz="6" w:space="0"/>
            </w:tcBorders>
            <w:noWrap w:val="0"/>
            <w:tcMar>
              <w:top w:w="0" w:type="dxa"/>
              <w:left w:w="105" w:type="dxa"/>
              <w:bottom w:w="0" w:type="dxa"/>
              <w:right w:w="105" w:type="dxa"/>
            </w:tcMar>
            <w:vAlign w:val="center"/>
          </w:tcPr>
          <w:p w14:paraId="667C072C">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bCs/>
                <w:color w:val="000000"/>
                <w:kern w:val="0"/>
                <w:sz w:val="24"/>
                <w:szCs w:val="24"/>
                <w:highlight w:val="none"/>
              </w:rPr>
              <w:t>实践课占必修课学时比例</w:t>
            </w:r>
          </w:p>
        </w:tc>
      </w:tr>
      <w:tr w14:paraId="6C5077E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8" w:hRule="atLeast"/>
        </w:trPr>
        <w:tc>
          <w:tcPr>
            <w:tcW w:w="2777" w:type="dxa"/>
            <w:tcBorders>
              <w:top w:val="nil"/>
              <w:left w:val="single" w:color="auto" w:sz="6" w:space="0"/>
              <w:bottom w:val="single" w:color="auto" w:sz="6" w:space="0"/>
              <w:right w:val="single" w:color="auto" w:sz="6" w:space="0"/>
            </w:tcBorders>
            <w:noWrap w:val="0"/>
            <w:tcMar>
              <w:top w:w="0" w:type="dxa"/>
              <w:left w:w="105" w:type="dxa"/>
              <w:bottom w:w="0" w:type="dxa"/>
              <w:right w:w="105" w:type="dxa"/>
            </w:tcMar>
            <w:vAlign w:val="center"/>
          </w:tcPr>
          <w:p w14:paraId="539F7F32">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rPr>
              <w:t>工学、理学类</w:t>
            </w:r>
          </w:p>
        </w:tc>
        <w:tc>
          <w:tcPr>
            <w:tcW w:w="1812"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14:paraId="734A219E">
            <w:pPr>
              <w:widowControl/>
              <w:spacing w:before="100" w:beforeAutospacing="1" w:after="100" w:afterAutospacing="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≦16</w:t>
            </w:r>
            <w:r>
              <w:rPr>
                <w:rFonts w:hint="eastAsia" w:ascii="宋体" w:hAnsi="宋体" w:cs="宋体"/>
                <w:b/>
                <w:kern w:val="0"/>
                <w:sz w:val="24"/>
                <w:szCs w:val="24"/>
                <w:highlight w:val="none"/>
                <w:lang w:val="en-US" w:eastAsia="zh-CN"/>
              </w:rPr>
              <w:t>8</w:t>
            </w:r>
            <w:r>
              <w:rPr>
                <w:rFonts w:hint="eastAsia" w:ascii="宋体" w:hAnsi="宋体" w:eastAsia="宋体" w:cs="宋体"/>
                <w:b/>
                <w:kern w:val="0"/>
                <w:sz w:val="24"/>
                <w:szCs w:val="24"/>
                <w:highlight w:val="none"/>
              </w:rPr>
              <w:t>.5分</w:t>
            </w:r>
          </w:p>
        </w:tc>
        <w:tc>
          <w:tcPr>
            <w:tcW w:w="3178"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14:paraId="1134979A">
            <w:pPr>
              <w:widowControl/>
              <w:spacing w:before="100" w:beforeAutospacing="1" w:after="100" w:afterAutospacing="1"/>
              <w:jc w:val="center"/>
              <w:rPr>
                <w:rFonts w:hint="eastAsia" w:ascii="宋体" w:hAnsi="宋体" w:eastAsia="宋体" w:cs="宋体"/>
                <w:kern w:val="0"/>
                <w:sz w:val="24"/>
                <w:szCs w:val="24"/>
                <w:highlight w:val="none"/>
              </w:rPr>
            </w:pPr>
            <w:bookmarkStart w:id="0" w:name="OLE_LINK2"/>
            <w:r>
              <w:rPr>
                <w:rFonts w:hint="eastAsia" w:ascii="宋体" w:hAnsi="宋体" w:eastAsia="宋体" w:cs="宋体"/>
                <w:color w:val="000000"/>
                <w:kern w:val="0"/>
                <w:sz w:val="24"/>
                <w:szCs w:val="24"/>
                <w:highlight w:val="none"/>
              </w:rPr>
              <w:t>≥</w:t>
            </w:r>
            <w:bookmarkEnd w:id="0"/>
            <w:r>
              <w:rPr>
                <w:rFonts w:hint="eastAsia" w:ascii="宋体" w:hAnsi="宋体" w:eastAsia="宋体" w:cs="宋体"/>
                <w:color w:val="000000"/>
                <w:kern w:val="0"/>
                <w:sz w:val="24"/>
                <w:szCs w:val="24"/>
                <w:highlight w:val="none"/>
              </w:rPr>
              <w:t>30</w:t>
            </w:r>
            <w:r>
              <w:rPr>
                <w:rFonts w:hint="eastAsia" w:ascii="宋体" w:hAnsi="宋体" w:eastAsia="宋体" w:cs="宋体"/>
                <w:b/>
                <w:bCs/>
                <w:color w:val="000000"/>
                <w:kern w:val="0"/>
                <w:sz w:val="24"/>
                <w:szCs w:val="24"/>
                <w:highlight w:val="none"/>
              </w:rPr>
              <w:t>%</w:t>
            </w:r>
          </w:p>
        </w:tc>
      </w:tr>
      <w:tr w14:paraId="3AC2414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8" w:hRule="atLeast"/>
        </w:trPr>
        <w:tc>
          <w:tcPr>
            <w:tcW w:w="2777" w:type="dxa"/>
            <w:tcBorders>
              <w:top w:val="nil"/>
              <w:left w:val="single" w:color="auto" w:sz="6" w:space="0"/>
              <w:bottom w:val="single" w:color="auto" w:sz="6" w:space="0"/>
              <w:right w:val="single" w:color="auto" w:sz="6" w:space="0"/>
            </w:tcBorders>
            <w:noWrap w:val="0"/>
            <w:tcMar>
              <w:top w:w="0" w:type="dxa"/>
              <w:left w:w="105" w:type="dxa"/>
              <w:bottom w:w="0" w:type="dxa"/>
              <w:right w:w="105" w:type="dxa"/>
            </w:tcMar>
            <w:vAlign w:val="center"/>
          </w:tcPr>
          <w:p w14:paraId="400BF3A9">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rPr>
              <w:t>经济、管理、文学类</w:t>
            </w:r>
          </w:p>
        </w:tc>
        <w:tc>
          <w:tcPr>
            <w:tcW w:w="1812"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14:paraId="3E12533D">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kern w:val="0"/>
                <w:sz w:val="24"/>
                <w:szCs w:val="24"/>
                <w:highlight w:val="none"/>
              </w:rPr>
              <w:t>≦16</w:t>
            </w:r>
            <w:r>
              <w:rPr>
                <w:rFonts w:hint="eastAsia" w:ascii="宋体" w:hAnsi="宋体" w:cs="宋体"/>
                <w:b/>
                <w:kern w:val="0"/>
                <w:sz w:val="24"/>
                <w:szCs w:val="24"/>
                <w:highlight w:val="none"/>
                <w:lang w:val="en-US" w:eastAsia="zh-CN"/>
              </w:rPr>
              <w:t>3</w:t>
            </w:r>
            <w:r>
              <w:rPr>
                <w:rFonts w:hint="eastAsia" w:ascii="宋体" w:hAnsi="宋体" w:eastAsia="宋体" w:cs="宋体"/>
                <w:b/>
                <w:kern w:val="0"/>
                <w:sz w:val="24"/>
                <w:szCs w:val="24"/>
                <w:highlight w:val="none"/>
              </w:rPr>
              <w:t>.5分</w:t>
            </w:r>
          </w:p>
        </w:tc>
        <w:tc>
          <w:tcPr>
            <w:tcW w:w="3178"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14:paraId="0EABD8A2">
            <w:pPr>
              <w:widowControl/>
              <w:spacing w:before="100" w:beforeAutospacing="1" w:after="100" w:afterAutospacing="1"/>
              <w:jc w:val="center"/>
              <w:rPr>
                <w:rFonts w:hint="eastAsia" w:ascii="宋体" w:hAnsi="宋体" w:eastAsia="宋体" w:cs="宋体"/>
                <w:kern w:val="0"/>
                <w:sz w:val="24"/>
                <w:szCs w:val="24"/>
                <w:highlight w:val="none"/>
              </w:rPr>
            </w:pPr>
            <w:bookmarkStart w:id="1" w:name="OLE_LINK3"/>
            <w:r>
              <w:rPr>
                <w:rFonts w:hint="eastAsia" w:ascii="宋体" w:hAnsi="宋体" w:eastAsia="宋体" w:cs="宋体"/>
                <w:color w:val="000000"/>
                <w:kern w:val="0"/>
                <w:sz w:val="24"/>
                <w:szCs w:val="24"/>
                <w:highlight w:val="none"/>
              </w:rPr>
              <w:t>≥2</w:t>
            </w:r>
            <w:bookmarkEnd w:id="1"/>
            <w:r>
              <w:rPr>
                <w:rFonts w:hint="eastAsia" w:ascii="宋体" w:hAnsi="宋体" w:eastAsia="宋体" w:cs="宋体"/>
                <w:color w:val="000000"/>
                <w:kern w:val="0"/>
                <w:sz w:val="24"/>
                <w:szCs w:val="24"/>
                <w:highlight w:val="none"/>
              </w:rPr>
              <w:t>5</w:t>
            </w:r>
            <w:r>
              <w:rPr>
                <w:rFonts w:hint="eastAsia" w:ascii="宋体" w:hAnsi="宋体" w:eastAsia="宋体" w:cs="宋体"/>
                <w:b/>
                <w:bCs/>
                <w:color w:val="000000"/>
                <w:kern w:val="0"/>
                <w:sz w:val="24"/>
                <w:szCs w:val="24"/>
                <w:highlight w:val="none"/>
              </w:rPr>
              <w:t>%</w:t>
            </w:r>
          </w:p>
        </w:tc>
      </w:tr>
    </w:tbl>
    <w:p w14:paraId="190C4E16">
      <w:pPr>
        <w:widowControl/>
        <w:ind w:firstLine="482" w:firstLineChars="200"/>
        <w:jc w:val="center"/>
        <w:rPr>
          <w:rFonts w:hint="eastAsia" w:ascii="宋体" w:hAnsi="宋体" w:eastAsia="宋体" w:cs="宋体"/>
          <w:b/>
          <w:color w:val="auto"/>
          <w:sz w:val="24"/>
          <w:szCs w:val="24"/>
          <w:highlight w:val="none"/>
          <w:lang w:eastAsia="zh-CN"/>
        </w:rPr>
      </w:pPr>
      <w:r>
        <w:rPr>
          <w:rFonts w:hint="eastAsia" w:ascii="宋体" w:hAnsi="宋体" w:eastAsia="宋体" w:cs="宋体"/>
          <w:b/>
          <w:sz w:val="24"/>
          <w:szCs w:val="24"/>
          <w:highlight w:val="none"/>
        </w:rPr>
        <w:t>表</w:t>
      </w: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各专业学分学时要求</w:t>
      </w:r>
    </w:p>
    <w:p w14:paraId="0841AD88">
      <w:pPr>
        <w:widowControl/>
        <w:spacing w:line="360" w:lineRule="auto"/>
        <w:ind w:firstLine="480" w:firstLineChars="200"/>
        <w:rPr>
          <w:rFonts w:hint="eastAsia" w:ascii="宋体" w:hAnsi="宋体" w:eastAsia="宋体" w:cs="宋体"/>
          <w:color w:val="auto"/>
          <w:sz w:val="24"/>
          <w:szCs w:val="24"/>
        </w:rPr>
      </w:pPr>
    </w:p>
    <w:p w14:paraId="47173306">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p>
    <w:p w14:paraId="3B6CE3A9">
      <w:pPr>
        <w:widowControl/>
        <w:spacing w:line="360" w:lineRule="auto"/>
        <w:ind w:firstLine="480" w:firstLineChars="200"/>
        <w:rPr>
          <w:rFonts w:hint="eastAsia" w:ascii="宋体" w:hAnsi="宋体" w:eastAsia="宋体" w:cs="宋体"/>
          <w:color w:val="auto"/>
          <w:sz w:val="24"/>
          <w:szCs w:val="24"/>
        </w:rPr>
      </w:pPr>
    </w:p>
    <w:p w14:paraId="40C07140">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w:t>
      </w:r>
    </w:p>
    <w:p w14:paraId="31DAE3D4">
      <w:pPr>
        <w:widowControl/>
        <w:spacing w:line="360" w:lineRule="auto"/>
        <w:ind w:firstLine="560" w:firstLineChars="200"/>
        <w:rPr>
          <w:rFonts w:hint="default" w:ascii="宋体" w:hAnsi="宋体" w:eastAsia="宋体" w:cs="宋体"/>
          <w:sz w:val="28"/>
          <w:szCs w:val="28"/>
        </w:rPr>
      </w:pPr>
      <w:r>
        <w:rPr>
          <w:rFonts w:hint="default" w:ascii="宋体" w:hAnsi="宋体" w:cs="宋体"/>
          <w:sz w:val="28"/>
          <w:szCs w:val="28"/>
        </w:rPr>
        <w:t>2.学分计算方法</w:t>
      </w:r>
    </w:p>
    <w:p w14:paraId="117726C0">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（1）原则上理论课（含课内实验）或单独实验课程16学时计1学分，最小学分单位为0.5。</w:t>
      </w:r>
    </w:p>
    <w:p w14:paraId="50A21EF2">
      <w:pPr>
        <w:widowControl/>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rPr>
        <w:t>（2）集中实践教学20学时计1学分，以每周1学分计算，其中“工程实训”为各专业必修，工科类专业不少于2学分，其它专业不少于1学分；</w:t>
      </w:r>
      <w:r>
        <w:rPr>
          <w:rFonts w:hint="eastAsia" w:ascii="宋体" w:hAnsi="宋体" w:eastAsia="宋体" w:cs="宋体"/>
          <w:sz w:val="28"/>
          <w:szCs w:val="28"/>
          <w:highlight w:val="none"/>
        </w:rPr>
        <w:t>毕业设计（论文）计</w:t>
      </w:r>
      <w:r>
        <w:rPr>
          <w:rFonts w:hint="eastAsia" w:ascii="宋体" w:hAnsi="宋体" w:cs="宋体"/>
          <w:sz w:val="28"/>
          <w:szCs w:val="28"/>
          <w:highlight w:val="none"/>
          <w:lang w:val="en-US" w:eastAsia="zh-CN"/>
        </w:rPr>
        <w:t>10</w:t>
      </w:r>
      <w:r>
        <w:rPr>
          <w:rFonts w:hint="eastAsia" w:ascii="宋体" w:hAnsi="宋体" w:eastAsia="宋体" w:cs="宋体"/>
          <w:sz w:val="28"/>
          <w:szCs w:val="28"/>
          <w:highlight w:val="none"/>
        </w:rPr>
        <w:t>学分。</w:t>
      </w:r>
    </w:p>
    <w:p w14:paraId="7B2D3DF4">
      <w:pPr>
        <w:widowControl/>
        <w:spacing w:line="360" w:lineRule="auto"/>
        <w:ind w:firstLine="560" w:firstLineChars="200"/>
        <w:rPr>
          <w:rFonts w:hint="default" w:ascii="宋体" w:hAnsi="宋体" w:eastAsia="宋体" w:cs="宋体"/>
          <w:sz w:val="28"/>
          <w:szCs w:val="28"/>
          <w:highlight w:val="none"/>
          <w:lang w:val="en-US" w:eastAsia="zh-CN"/>
        </w:rPr>
      </w:pP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3</w:t>
      </w:r>
      <w:r>
        <w:rPr>
          <w:rFonts w:hint="eastAsia" w:ascii="宋体" w:hAnsi="宋体" w:cs="宋体"/>
          <w:sz w:val="28"/>
          <w:szCs w:val="28"/>
          <w:highlight w:val="none"/>
          <w:lang w:eastAsia="zh-CN"/>
        </w:rPr>
        <w:t>）体育课、</w:t>
      </w:r>
      <w:r>
        <w:rPr>
          <w:rFonts w:hint="eastAsia" w:ascii="宋体" w:hAnsi="宋体" w:cs="宋体"/>
          <w:sz w:val="28"/>
          <w:szCs w:val="28"/>
          <w:highlight w:val="none"/>
          <w:lang w:val="en-US" w:eastAsia="zh-CN"/>
        </w:rPr>
        <w:t>化学类课内实验课、</w:t>
      </w:r>
      <w:r>
        <w:rPr>
          <w:rFonts w:hint="eastAsia" w:ascii="宋体" w:hAnsi="宋体" w:cs="宋体"/>
          <w:sz w:val="28"/>
          <w:szCs w:val="28"/>
          <w:highlight w:val="none"/>
          <w:lang w:eastAsia="zh-CN"/>
        </w:rPr>
        <w:t>艺术实践团训课</w:t>
      </w:r>
      <w:r>
        <w:rPr>
          <w:rFonts w:hint="eastAsia" w:ascii="宋体" w:hAnsi="宋体" w:cs="宋体"/>
          <w:sz w:val="28"/>
          <w:szCs w:val="28"/>
          <w:highlight w:val="none"/>
          <w:lang w:val="en-US" w:eastAsia="zh-CN"/>
        </w:rPr>
        <w:t>32学时计1学分。</w:t>
      </w:r>
    </w:p>
    <w:p w14:paraId="21BB3C5A">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val="en-US" w:eastAsia="zh-CN"/>
        </w:rPr>
        <w:t>4</w:t>
      </w:r>
      <w:r>
        <w:rPr>
          <w:rFonts w:hint="eastAsia" w:ascii="宋体" w:hAnsi="宋体" w:eastAsia="宋体" w:cs="宋体"/>
          <w:sz w:val="28"/>
          <w:szCs w:val="28"/>
        </w:rPr>
        <w:t>）</w:t>
      </w:r>
      <w:r>
        <w:rPr>
          <w:rFonts w:hint="eastAsia" w:ascii="宋体" w:hAnsi="宋体" w:eastAsia="宋体" w:cs="宋体"/>
          <w:sz w:val="28"/>
          <w:szCs w:val="28"/>
          <w:highlight w:val="none"/>
        </w:rPr>
        <w:t>学生参加各类创新创业实践活动，可进行创新创业类学分认定，具体参照</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eastAsia="zh-CN"/>
        </w:rPr>
        <w:t>上海电力大学创新创业训练与实践学分管理办法</w:t>
      </w:r>
      <w:r>
        <w:rPr>
          <w:rFonts w:hint="eastAsia" w:ascii="宋体" w:hAnsi="宋体" w:eastAsia="宋体" w:cs="宋体"/>
          <w:color w:val="auto"/>
          <w:sz w:val="28"/>
          <w:szCs w:val="28"/>
          <w:highlight w:val="none"/>
        </w:rPr>
        <w:t>》</w:t>
      </w:r>
      <w:r>
        <w:rPr>
          <w:rFonts w:hint="eastAsia" w:ascii="宋体" w:hAnsi="宋体" w:eastAsia="宋体" w:cs="宋体"/>
          <w:sz w:val="28"/>
          <w:szCs w:val="28"/>
          <w:highlight w:val="none"/>
        </w:rPr>
        <w:t>执行。</w:t>
      </w:r>
    </w:p>
    <w:p w14:paraId="6041966D">
      <w:pPr>
        <w:widowControl/>
        <w:spacing w:line="360" w:lineRule="auto"/>
        <w:ind w:firstLine="560" w:firstLineChars="200"/>
        <w:rPr>
          <w:rFonts w:hint="eastAsia" w:ascii="宋体" w:hAnsi="宋体" w:eastAsia="宋体" w:cs="宋体"/>
          <w:color w:val="C00000"/>
          <w:sz w:val="28"/>
          <w:szCs w:val="28"/>
          <w:lang w:val="en-US" w:eastAsia="zh-CN"/>
        </w:rPr>
      </w:pPr>
      <w:r>
        <w:rPr>
          <w:rFonts w:hint="eastAsia" w:ascii="宋体" w:hAnsi="宋体" w:eastAsia="宋体" w:cs="宋体"/>
          <w:sz w:val="28"/>
          <w:szCs w:val="28"/>
        </w:rPr>
        <w:t>3.学期与教学周</w:t>
      </w:r>
      <w:r>
        <w:rPr>
          <w:rFonts w:hint="eastAsia" w:ascii="宋体" w:hAnsi="宋体" w:cs="宋体"/>
          <w:color w:val="auto"/>
          <w:sz w:val="28"/>
          <w:szCs w:val="28"/>
          <w:lang w:val="en-US" w:eastAsia="zh-CN"/>
        </w:rPr>
        <w:t>安排</w:t>
      </w:r>
    </w:p>
    <w:p w14:paraId="274712B7">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每学年安排二学期，按基本学制计算，共计八学期。第一到第六学期每学期安排不多于19周，其中16周安排课堂教学，1-2周安排复习考试，1-2周安排集中实践教学环节。第七学期安排19周，其中第1至第8周安排课堂教学，第9-10周安排复习考试，第11至第19周安排课程设计、毕业实习和毕业设计（论文）的工作。第八学期安排18周，其中第1周至第17周与第七学期相接，统一安排毕业实习和毕业设计（论文）工作，第18周学生毕业离校。</w:t>
      </w:r>
    </w:p>
    <w:p w14:paraId="68DBCADC">
      <w:pPr>
        <w:widowControl/>
        <w:spacing w:line="360"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四、课程设置</w:t>
      </w:r>
    </w:p>
    <w:p w14:paraId="34C0B5AF">
      <w:pPr>
        <w:widowControl/>
        <w:spacing w:line="360" w:lineRule="auto"/>
        <w:ind w:firstLine="560" w:firstLineChars="200"/>
        <w:rPr>
          <w:rFonts w:hint="eastAsia" w:ascii="宋体" w:hAnsi="宋体" w:eastAsia="宋体" w:cs="宋体"/>
          <w:sz w:val="24"/>
        </w:rPr>
      </w:pPr>
      <w:r>
        <w:rPr>
          <w:rFonts w:hint="eastAsia" w:ascii="宋体" w:hAnsi="宋体" w:eastAsia="宋体" w:cs="宋体"/>
          <w:sz w:val="28"/>
          <w:szCs w:val="28"/>
        </w:rPr>
        <w:t>课程体系结构包括通识教育课程、学科基础课程、专业教育课程、集中实践课程</w:t>
      </w:r>
      <w:r>
        <w:rPr>
          <w:rFonts w:hint="eastAsia" w:ascii="宋体" w:hAnsi="宋体" w:cs="宋体"/>
          <w:sz w:val="28"/>
          <w:szCs w:val="28"/>
          <w:lang w:eastAsia="zh-CN"/>
        </w:rPr>
        <w:t>等</w:t>
      </w:r>
      <w:r>
        <w:rPr>
          <w:rFonts w:hint="eastAsia" w:ascii="宋体" w:hAnsi="宋体" w:eastAsia="宋体" w:cs="宋体"/>
          <w:sz w:val="28"/>
          <w:szCs w:val="28"/>
        </w:rPr>
        <w:t>四部分，课程体系结构及学分要求见表2。</w:t>
      </w:r>
    </w:p>
    <w:p w14:paraId="4F308167">
      <w:pPr>
        <w:widowControl/>
        <w:spacing w:line="360" w:lineRule="auto"/>
        <w:ind w:firstLine="482" w:firstLineChars="200"/>
        <w:jc w:val="center"/>
        <w:rPr>
          <w:rFonts w:hint="eastAsia" w:ascii="宋体" w:hAnsi="宋体" w:eastAsia="宋体" w:cs="宋体"/>
          <w:b/>
          <w:kern w:val="0"/>
          <w:sz w:val="24"/>
        </w:rPr>
      </w:pPr>
      <w:r>
        <w:rPr>
          <w:rFonts w:hint="eastAsia" w:ascii="宋体" w:hAnsi="宋体" w:eastAsia="宋体" w:cs="宋体"/>
          <w:b/>
          <w:sz w:val="24"/>
        </w:rPr>
        <w:t>表2</w:t>
      </w:r>
      <w:r>
        <w:rPr>
          <w:rFonts w:hint="eastAsia" w:ascii="宋体" w:hAnsi="宋体" w:eastAsia="宋体" w:cs="宋体"/>
          <w:b/>
          <w:sz w:val="24"/>
          <w:lang w:eastAsia="zh-CN"/>
        </w:rPr>
        <w:t>：</w:t>
      </w:r>
      <w:r>
        <w:rPr>
          <w:rFonts w:hint="eastAsia" w:ascii="宋体" w:hAnsi="宋体" w:eastAsia="宋体" w:cs="宋体"/>
          <w:b/>
          <w:sz w:val="24"/>
        </w:rPr>
        <w:t>课程体系结构及学分要求</w:t>
      </w:r>
    </w:p>
    <w:tbl>
      <w:tblPr>
        <w:tblStyle w:val="5"/>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892"/>
        <w:gridCol w:w="1126"/>
        <w:gridCol w:w="1158"/>
        <w:gridCol w:w="4954"/>
      </w:tblGrid>
      <w:tr w14:paraId="3C22AD7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tcBorders>
              <w:top w:val="single" w:color="000000" w:sz="6" w:space="0"/>
              <w:left w:val="single" w:color="000000" w:sz="6" w:space="0"/>
              <w:bottom w:val="single" w:color="000000" w:sz="6" w:space="0"/>
              <w:right w:val="single" w:color="000000" w:sz="6" w:space="0"/>
            </w:tcBorders>
            <w:noWrap w:val="0"/>
            <w:tcMar>
              <w:top w:w="0" w:type="dxa"/>
              <w:left w:w="105" w:type="dxa"/>
              <w:bottom w:w="0" w:type="dxa"/>
              <w:right w:w="105" w:type="dxa"/>
            </w:tcMar>
            <w:vAlign w:val="center"/>
          </w:tcPr>
          <w:p w14:paraId="5AF687B0">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课程 结构</w:t>
            </w:r>
          </w:p>
        </w:tc>
        <w:tc>
          <w:tcPr>
            <w:tcW w:w="1126"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14:paraId="32ED93EF">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课程类别</w:t>
            </w:r>
          </w:p>
        </w:tc>
        <w:tc>
          <w:tcPr>
            <w:tcW w:w="1158"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14:paraId="0BF4810A">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学分</w:t>
            </w:r>
          </w:p>
        </w:tc>
        <w:tc>
          <w:tcPr>
            <w:tcW w:w="4954"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14:paraId="174BADD2">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课程模块及学分要求</w:t>
            </w:r>
          </w:p>
        </w:tc>
      </w:tr>
      <w:tr w14:paraId="505C315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restart"/>
            <w:tcBorders>
              <w:top w:val="nil"/>
              <w:left w:val="single" w:color="auto" w:sz="6" w:space="0"/>
              <w:right w:val="single" w:color="auto" w:sz="6" w:space="0"/>
            </w:tcBorders>
            <w:noWrap w:val="0"/>
            <w:tcMar>
              <w:top w:w="0" w:type="dxa"/>
              <w:left w:w="105" w:type="dxa"/>
              <w:bottom w:w="0" w:type="dxa"/>
              <w:right w:w="105" w:type="dxa"/>
            </w:tcMar>
            <w:vAlign w:val="center"/>
          </w:tcPr>
          <w:p w14:paraId="36F0D67E">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通识教育课程</w:t>
            </w:r>
          </w:p>
        </w:tc>
        <w:tc>
          <w:tcPr>
            <w:tcW w:w="1126" w:type="dxa"/>
            <w:vMerge w:val="restart"/>
            <w:tcBorders>
              <w:top w:val="nil"/>
              <w:left w:val="nil"/>
              <w:right w:val="single" w:color="auto" w:sz="6" w:space="0"/>
            </w:tcBorders>
            <w:noWrap w:val="0"/>
            <w:tcMar>
              <w:top w:w="0" w:type="dxa"/>
              <w:left w:w="105" w:type="dxa"/>
              <w:bottom w:w="0" w:type="dxa"/>
              <w:right w:w="105" w:type="dxa"/>
            </w:tcMar>
            <w:vAlign w:val="center"/>
          </w:tcPr>
          <w:p w14:paraId="66682075">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通识必修课程</w:t>
            </w:r>
          </w:p>
        </w:tc>
        <w:tc>
          <w:tcPr>
            <w:tcW w:w="1158" w:type="dxa"/>
            <w:vMerge w:val="restart"/>
            <w:tcBorders>
              <w:top w:val="nil"/>
              <w:left w:val="nil"/>
              <w:right w:val="single" w:color="auto" w:sz="6" w:space="0"/>
            </w:tcBorders>
            <w:noWrap w:val="0"/>
            <w:tcMar>
              <w:top w:w="0" w:type="dxa"/>
              <w:left w:w="105" w:type="dxa"/>
              <w:bottom w:w="0" w:type="dxa"/>
              <w:right w:w="105" w:type="dxa"/>
            </w:tcMar>
            <w:vAlign w:val="center"/>
          </w:tcPr>
          <w:p w14:paraId="125E12EC">
            <w:pPr>
              <w:widowControl/>
              <w:spacing w:line="360" w:lineRule="auto"/>
              <w:jc w:val="center"/>
              <w:rPr>
                <w:rFonts w:hint="eastAsia" w:ascii="宋体" w:hAnsi="宋体" w:eastAsia="宋体" w:cs="宋体"/>
                <w:kern w:val="0"/>
                <w:szCs w:val="21"/>
                <w:highlight w:val="none"/>
              </w:rPr>
            </w:pPr>
            <w:r>
              <w:rPr>
                <w:rFonts w:hint="eastAsia" w:ascii="宋体" w:hAnsi="宋体" w:cs="宋体"/>
                <w:kern w:val="0"/>
                <w:szCs w:val="21"/>
                <w:highlight w:val="none"/>
                <w:lang w:val="en-US" w:eastAsia="zh-CN"/>
              </w:rPr>
              <w:t>39</w:t>
            </w:r>
            <w:r>
              <w:rPr>
                <w:rFonts w:hint="eastAsia" w:ascii="宋体" w:hAnsi="宋体" w:eastAsia="宋体" w:cs="宋体"/>
                <w:kern w:val="0"/>
                <w:szCs w:val="21"/>
                <w:highlight w:val="none"/>
              </w:rPr>
              <w:t>.5-</w:t>
            </w:r>
            <w:r>
              <w:rPr>
                <w:rFonts w:hint="eastAsia" w:ascii="宋体" w:hAnsi="宋体" w:cs="宋体"/>
                <w:kern w:val="0"/>
                <w:szCs w:val="21"/>
                <w:highlight w:val="none"/>
                <w:lang w:val="en-US" w:eastAsia="zh-CN"/>
              </w:rPr>
              <w:t>43</w:t>
            </w:r>
            <w:r>
              <w:rPr>
                <w:rFonts w:hint="eastAsia" w:ascii="宋体" w:hAnsi="宋体" w:eastAsia="宋体" w:cs="宋体"/>
                <w:kern w:val="0"/>
                <w:szCs w:val="21"/>
                <w:highlight w:val="none"/>
              </w:rPr>
              <w:t>.5</w:t>
            </w: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14:paraId="2EBD1704">
            <w:pPr>
              <w:widowControl/>
              <w:spacing w:line="300" w:lineRule="auto"/>
              <w:rPr>
                <w:rFonts w:hint="eastAsia" w:ascii="宋体" w:hAnsi="宋体" w:eastAsia="宋体" w:cs="宋体"/>
                <w:kern w:val="0"/>
                <w:szCs w:val="21"/>
                <w:highlight w:val="none"/>
                <w:lang w:eastAsia="zh-CN"/>
              </w:rPr>
            </w:pPr>
            <w:r>
              <w:rPr>
                <w:rFonts w:hint="eastAsia" w:ascii="宋体" w:hAnsi="宋体" w:eastAsia="宋体" w:cs="宋体"/>
                <w:kern w:val="0"/>
                <w:szCs w:val="21"/>
                <w:highlight w:val="none"/>
              </w:rPr>
              <w:t>思想政治</w:t>
            </w:r>
            <w:r>
              <w:rPr>
                <w:rFonts w:hint="eastAsia" w:ascii="宋体" w:hAnsi="宋体" w:cs="宋体"/>
                <w:kern w:val="0"/>
                <w:szCs w:val="21"/>
                <w:highlight w:val="none"/>
                <w:lang w:eastAsia="zh-CN"/>
              </w:rPr>
              <w:t>类</w:t>
            </w:r>
            <w:r>
              <w:rPr>
                <w:rFonts w:hint="eastAsia" w:ascii="宋体" w:hAnsi="宋体" w:eastAsia="宋体" w:cs="宋体"/>
                <w:kern w:val="0"/>
                <w:szCs w:val="21"/>
                <w:highlight w:val="none"/>
              </w:rPr>
              <w:t>1</w:t>
            </w:r>
            <w:r>
              <w:rPr>
                <w:rFonts w:hint="eastAsia" w:ascii="宋体" w:hAnsi="宋体" w:cs="宋体"/>
                <w:kern w:val="0"/>
                <w:szCs w:val="21"/>
                <w:highlight w:val="none"/>
                <w:lang w:val="en-US" w:eastAsia="zh-CN"/>
              </w:rPr>
              <w:t>7</w:t>
            </w:r>
            <w:r>
              <w:rPr>
                <w:rFonts w:hint="eastAsia" w:ascii="宋体" w:hAnsi="宋体" w:eastAsia="宋体" w:cs="宋体"/>
                <w:kern w:val="0"/>
                <w:szCs w:val="21"/>
                <w:highlight w:val="none"/>
              </w:rPr>
              <w:t>学分</w:t>
            </w:r>
          </w:p>
        </w:tc>
      </w:tr>
      <w:tr w14:paraId="4342349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14:paraId="67484E5C">
            <w:pPr>
              <w:widowControl/>
              <w:spacing w:line="360" w:lineRule="auto"/>
              <w:jc w:val="center"/>
              <w:rPr>
                <w:rFonts w:hint="eastAsia" w:ascii="宋体" w:hAnsi="宋体" w:eastAsia="宋体" w:cs="宋体"/>
                <w:b/>
                <w:kern w:val="0"/>
                <w:szCs w:val="21"/>
              </w:rPr>
            </w:pPr>
          </w:p>
        </w:tc>
        <w:tc>
          <w:tcPr>
            <w:tcW w:w="1126" w:type="dxa"/>
            <w:vMerge w:val="continue"/>
            <w:tcBorders>
              <w:left w:val="nil"/>
              <w:right w:val="single" w:color="auto" w:sz="6" w:space="0"/>
            </w:tcBorders>
            <w:noWrap w:val="0"/>
            <w:vAlign w:val="center"/>
          </w:tcPr>
          <w:p w14:paraId="47226445">
            <w:pPr>
              <w:widowControl/>
              <w:spacing w:line="360" w:lineRule="auto"/>
              <w:rPr>
                <w:rFonts w:hint="eastAsia" w:ascii="宋体" w:hAnsi="宋体" w:eastAsia="宋体" w:cs="宋体"/>
                <w:kern w:val="0"/>
                <w:szCs w:val="21"/>
              </w:rPr>
            </w:pPr>
          </w:p>
        </w:tc>
        <w:tc>
          <w:tcPr>
            <w:tcW w:w="1158" w:type="dxa"/>
            <w:vMerge w:val="continue"/>
            <w:tcBorders>
              <w:left w:val="nil"/>
              <w:right w:val="single" w:color="auto" w:sz="6" w:space="0"/>
            </w:tcBorders>
            <w:noWrap w:val="0"/>
            <w:vAlign w:val="center"/>
          </w:tcPr>
          <w:p w14:paraId="57816BF1">
            <w:pPr>
              <w:widowControl/>
              <w:spacing w:line="360" w:lineRule="auto"/>
              <w:jc w:val="center"/>
              <w:rPr>
                <w:rFonts w:hint="eastAsia" w:ascii="宋体" w:hAnsi="宋体" w:eastAsia="宋体" w:cs="宋体"/>
                <w:kern w:val="0"/>
                <w:szCs w:val="21"/>
                <w:highlight w:val="none"/>
              </w:rPr>
            </w:pP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14:paraId="477A826B">
            <w:pPr>
              <w:widowControl/>
              <w:spacing w:line="300" w:lineRule="auto"/>
              <w:rPr>
                <w:rFonts w:hint="eastAsia" w:ascii="宋体" w:hAnsi="宋体" w:eastAsia="宋体" w:cs="宋体"/>
                <w:kern w:val="0"/>
                <w:szCs w:val="21"/>
                <w:highlight w:val="none"/>
              </w:rPr>
            </w:pPr>
            <w:r>
              <w:rPr>
                <w:rFonts w:hint="eastAsia" w:ascii="宋体" w:hAnsi="宋体" w:eastAsia="宋体" w:cs="宋体"/>
                <w:color w:val="auto"/>
                <w:kern w:val="0"/>
                <w:szCs w:val="21"/>
                <w:highlight w:val="none"/>
              </w:rPr>
              <w:t>语言</w:t>
            </w:r>
            <w:r>
              <w:rPr>
                <w:rFonts w:hint="eastAsia" w:ascii="宋体" w:hAnsi="宋体" w:cs="宋体"/>
                <w:color w:val="auto"/>
                <w:kern w:val="0"/>
                <w:szCs w:val="21"/>
                <w:highlight w:val="none"/>
                <w:lang w:eastAsia="zh-CN"/>
              </w:rPr>
              <w:t>与工具类</w:t>
            </w:r>
            <w:r>
              <w:rPr>
                <w:rFonts w:hint="eastAsia" w:ascii="宋体" w:hAnsi="宋体" w:cs="宋体"/>
                <w:color w:val="auto"/>
                <w:kern w:val="0"/>
                <w:szCs w:val="21"/>
                <w:highlight w:val="none"/>
                <w:lang w:val="en-US" w:eastAsia="zh-CN"/>
              </w:rPr>
              <w:t>11</w:t>
            </w:r>
            <w:r>
              <w:rPr>
                <w:rFonts w:hint="eastAsia" w:ascii="宋体" w:hAnsi="宋体" w:eastAsia="宋体" w:cs="宋体"/>
                <w:color w:val="auto"/>
                <w:kern w:val="0"/>
                <w:szCs w:val="21"/>
                <w:highlight w:val="none"/>
              </w:rPr>
              <w:t>-1</w:t>
            </w:r>
            <w:r>
              <w:rPr>
                <w:rFonts w:hint="eastAsia" w:ascii="宋体" w:hAnsi="宋体" w:cs="宋体"/>
                <w:color w:val="auto"/>
                <w:kern w:val="0"/>
                <w:szCs w:val="21"/>
                <w:highlight w:val="none"/>
                <w:lang w:val="en-US" w:eastAsia="zh-CN"/>
              </w:rPr>
              <w:t>5</w:t>
            </w:r>
            <w:r>
              <w:rPr>
                <w:rFonts w:hint="eastAsia" w:ascii="宋体" w:hAnsi="宋体" w:eastAsia="宋体" w:cs="宋体"/>
                <w:color w:val="auto"/>
                <w:kern w:val="0"/>
                <w:szCs w:val="21"/>
                <w:highlight w:val="none"/>
              </w:rPr>
              <w:t>学分（英语、计算机类）</w:t>
            </w:r>
          </w:p>
        </w:tc>
      </w:tr>
      <w:tr w14:paraId="595B80C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781" w:hRule="atLeast"/>
          <w:jc w:val="center"/>
        </w:trPr>
        <w:tc>
          <w:tcPr>
            <w:tcW w:w="892" w:type="dxa"/>
            <w:vMerge w:val="continue"/>
            <w:tcBorders>
              <w:left w:val="single" w:color="auto" w:sz="6" w:space="0"/>
              <w:right w:val="single" w:color="auto" w:sz="6" w:space="0"/>
            </w:tcBorders>
            <w:noWrap w:val="0"/>
            <w:vAlign w:val="center"/>
          </w:tcPr>
          <w:p w14:paraId="6BE0CBF9">
            <w:pPr>
              <w:widowControl/>
              <w:spacing w:line="360" w:lineRule="auto"/>
              <w:jc w:val="center"/>
              <w:rPr>
                <w:rFonts w:hint="eastAsia" w:ascii="宋体" w:hAnsi="宋体" w:eastAsia="宋体" w:cs="宋体"/>
                <w:b/>
                <w:kern w:val="0"/>
                <w:szCs w:val="21"/>
              </w:rPr>
            </w:pPr>
          </w:p>
        </w:tc>
        <w:tc>
          <w:tcPr>
            <w:tcW w:w="1126" w:type="dxa"/>
            <w:vMerge w:val="continue"/>
            <w:tcBorders>
              <w:left w:val="nil"/>
              <w:right w:val="single" w:color="auto" w:sz="6" w:space="0"/>
            </w:tcBorders>
            <w:noWrap w:val="0"/>
            <w:vAlign w:val="center"/>
          </w:tcPr>
          <w:p w14:paraId="064E288A">
            <w:pPr>
              <w:widowControl/>
              <w:spacing w:line="360" w:lineRule="auto"/>
              <w:rPr>
                <w:rFonts w:hint="eastAsia" w:ascii="宋体" w:hAnsi="宋体" w:eastAsia="宋体" w:cs="宋体"/>
                <w:kern w:val="0"/>
                <w:szCs w:val="21"/>
              </w:rPr>
            </w:pPr>
          </w:p>
        </w:tc>
        <w:tc>
          <w:tcPr>
            <w:tcW w:w="1158" w:type="dxa"/>
            <w:vMerge w:val="continue"/>
            <w:tcBorders>
              <w:left w:val="nil"/>
              <w:right w:val="single" w:color="auto" w:sz="6" w:space="0"/>
            </w:tcBorders>
            <w:noWrap w:val="0"/>
            <w:vAlign w:val="center"/>
          </w:tcPr>
          <w:p w14:paraId="0EA35545">
            <w:pPr>
              <w:widowControl/>
              <w:spacing w:line="360" w:lineRule="auto"/>
              <w:jc w:val="center"/>
              <w:rPr>
                <w:rFonts w:hint="eastAsia" w:ascii="宋体" w:hAnsi="宋体" w:eastAsia="宋体" w:cs="宋体"/>
                <w:kern w:val="0"/>
                <w:szCs w:val="21"/>
                <w:highlight w:val="none"/>
              </w:rPr>
            </w:pP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14:paraId="0E604418">
            <w:pPr>
              <w:widowControl/>
              <w:spacing w:line="300" w:lineRule="auto"/>
              <w:rPr>
                <w:rFonts w:hint="eastAsia" w:ascii="宋体" w:hAnsi="宋体" w:eastAsia="宋体" w:cs="宋体"/>
                <w:kern w:val="0"/>
                <w:szCs w:val="21"/>
                <w:highlight w:val="none"/>
              </w:rPr>
            </w:pPr>
            <w:r>
              <w:rPr>
                <w:rFonts w:hint="eastAsia" w:ascii="宋体" w:hAnsi="宋体" w:eastAsia="宋体" w:cs="宋体"/>
                <w:kern w:val="0"/>
                <w:szCs w:val="21"/>
                <w:highlight w:val="none"/>
              </w:rPr>
              <w:t>综合素养类</w:t>
            </w:r>
            <w:r>
              <w:rPr>
                <w:rFonts w:hint="eastAsia" w:ascii="宋体" w:hAnsi="宋体" w:cs="宋体"/>
                <w:kern w:val="0"/>
                <w:szCs w:val="21"/>
                <w:highlight w:val="none"/>
                <w:lang w:val="en-US" w:eastAsia="zh-CN"/>
              </w:rPr>
              <w:t>8</w:t>
            </w:r>
            <w:r>
              <w:rPr>
                <w:rFonts w:hint="eastAsia" w:ascii="宋体" w:hAnsi="宋体" w:eastAsia="宋体" w:cs="宋体"/>
                <w:kern w:val="0"/>
                <w:szCs w:val="21"/>
                <w:highlight w:val="none"/>
              </w:rPr>
              <w:t>学分[军事理论（2）、大学体育课程（</w:t>
            </w:r>
            <w:r>
              <w:rPr>
                <w:rFonts w:hint="eastAsia" w:ascii="宋体" w:hAnsi="宋体" w:cs="宋体"/>
                <w:kern w:val="0"/>
                <w:szCs w:val="21"/>
                <w:highlight w:val="none"/>
                <w:lang w:val="en-US" w:eastAsia="zh-CN"/>
              </w:rPr>
              <w:t>4</w:t>
            </w:r>
            <w:r>
              <w:rPr>
                <w:rFonts w:hint="eastAsia" w:ascii="宋体" w:hAnsi="宋体" w:eastAsia="宋体" w:cs="宋体"/>
                <w:kern w:val="0"/>
                <w:szCs w:val="21"/>
                <w:highlight w:val="none"/>
              </w:rPr>
              <w:t>）、大学生入学教育与生涯规划（1）、</w:t>
            </w:r>
            <w:r>
              <w:rPr>
                <w:rFonts w:hint="eastAsia" w:ascii="宋体" w:hAnsi="宋体" w:eastAsia="宋体" w:cs="宋体"/>
                <w:color w:val="auto"/>
                <w:kern w:val="0"/>
                <w:szCs w:val="21"/>
                <w:highlight w:val="none"/>
              </w:rPr>
              <w:t>大学生心理健康(</w:t>
            </w: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w:t>
            </w:r>
          </w:p>
        </w:tc>
      </w:tr>
      <w:tr w14:paraId="01A5AAC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14:paraId="64233057">
            <w:pPr>
              <w:widowControl/>
              <w:spacing w:line="360" w:lineRule="auto"/>
              <w:jc w:val="center"/>
              <w:rPr>
                <w:rFonts w:hint="eastAsia" w:ascii="宋体" w:hAnsi="宋体" w:eastAsia="宋体" w:cs="宋体"/>
                <w:b/>
                <w:kern w:val="0"/>
                <w:szCs w:val="21"/>
              </w:rPr>
            </w:pPr>
          </w:p>
        </w:tc>
        <w:tc>
          <w:tcPr>
            <w:tcW w:w="1126" w:type="dxa"/>
            <w:vMerge w:val="continue"/>
            <w:tcBorders>
              <w:left w:val="nil"/>
              <w:right w:val="single" w:color="auto" w:sz="6" w:space="0"/>
            </w:tcBorders>
            <w:noWrap w:val="0"/>
            <w:vAlign w:val="center"/>
          </w:tcPr>
          <w:p w14:paraId="62C8F66E">
            <w:pPr>
              <w:widowControl/>
              <w:spacing w:line="360" w:lineRule="auto"/>
              <w:rPr>
                <w:rFonts w:hint="eastAsia" w:ascii="宋体" w:hAnsi="宋体" w:eastAsia="宋体" w:cs="宋体"/>
                <w:kern w:val="0"/>
                <w:szCs w:val="21"/>
              </w:rPr>
            </w:pPr>
          </w:p>
        </w:tc>
        <w:tc>
          <w:tcPr>
            <w:tcW w:w="1158" w:type="dxa"/>
            <w:vMerge w:val="continue"/>
            <w:tcBorders>
              <w:left w:val="nil"/>
              <w:right w:val="single" w:color="auto" w:sz="6" w:space="0"/>
            </w:tcBorders>
            <w:noWrap w:val="0"/>
            <w:vAlign w:val="center"/>
          </w:tcPr>
          <w:p w14:paraId="1BE414F1">
            <w:pPr>
              <w:widowControl/>
              <w:spacing w:line="360" w:lineRule="auto"/>
              <w:jc w:val="center"/>
              <w:rPr>
                <w:rFonts w:hint="eastAsia" w:ascii="宋体" w:hAnsi="宋体" w:eastAsia="宋体" w:cs="宋体"/>
                <w:kern w:val="0"/>
                <w:szCs w:val="21"/>
              </w:rPr>
            </w:pP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14:paraId="7019F479">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创新创业与就业指导类1.5学分[创新创业基础（1）、大学生就业与创业实务（0.5）]</w:t>
            </w:r>
          </w:p>
        </w:tc>
      </w:tr>
      <w:tr w14:paraId="761C425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14:paraId="41695050">
            <w:pPr>
              <w:widowControl/>
              <w:spacing w:line="360" w:lineRule="auto"/>
              <w:jc w:val="center"/>
              <w:rPr>
                <w:rFonts w:hint="eastAsia" w:ascii="宋体" w:hAnsi="宋体" w:eastAsia="宋体" w:cs="宋体"/>
                <w:b/>
                <w:kern w:val="0"/>
                <w:szCs w:val="21"/>
              </w:rPr>
            </w:pPr>
          </w:p>
        </w:tc>
        <w:tc>
          <w:tcPr>
            <w:tcW w:w="1126" w:type="dxa"/>
            <w:vMerge w:val="continue"/>
            <w:tcBorders>
              <w:left w:val="nil"/>
              <w:bottom w:val="single" w:color="auto" w:sz="4" w:space="0"/>
              <w:right w:val="single" w:color="auto" w:sz="6" w:space="0"/>
            </w:tcBorders>
            <w:noWrap w:val="0"/>
            <w:vAlign w:val="center"/>
          </w:tcPr>
          <w:p w14:paraId="3BF75C54">
            <w:pPr>
              <w:widowControl/>
              <w:spacing w:line="360" w:lineRule="auto"/>
              <w:rPr>
                <w:rFonts w:hint="eastAsia" w:ascii="宋体" w:hAnsi="宋体" w:eastAsia="宋体" w:cs="宋体"/>
                <w:kern w:val="0"/>
                <w:szCs w:val="21"/>
              </w:rPr>
            </w:pPr>
          </w:p>
        </w:tc>
        <w:tc>
          <w:tcPr>
            <w:tcW w:w="1158" w:type="dxa"/>
            <w:vMerge w:val="continue"/>
            <w:tcBorders>
              <w:left w:val="nil"/>
              <w:bottom w:val="single" w:color="auto" w:sz="4" w:space="0"/>
              <w:right w:val="single" w:color="auto" w:sz="6" w:space="0"/>
            </w:tcBorders>
            <w:noWrap w:val="0"/>
            <w:vAlign w:val="center"/>
          </w:tcPr>
          <w:p w14:paraId="7E374475">
            <w:pPr>
              <w:widowControl/>
              <w:spacing w:line="360" w:lineRule="auto"/>
              <w:jc w:val="center"/>
              <w:rPr>
                <w:rFonts w:hint="eastAsia" w:ascii="宋体" w:hAnsi="宋体" w:eastAsia="宋体" w:cs="宋体"/>
                <w:kern w:val="0"/>
                <w:szCs w:val="21"/>
              </w:rPr>
            </w:pPr>
          </w:p>
        </w:tc>
        <w:tc>
          <w:tcPr>
            <w:tcW w:w="4954" w:type="dxa"/>
            <w:tcBorders>
              <w:top w:val="nil"/>
              <w:left w:val="nil"/>
              <w:bottom w:val="single" w:color="auto" w:sz="4" w:space="0"/>
              <w:right w:val="single" w:color="auto" w:sz="6" w:space="0"/>
            </w:tcBorders>
            <w:noWrap w:val="0"/>
            <w:tcMar>
              <w:top w:w="0" w:type="dxa"/>
              <w:left w:w="105" w:type="dxa"/>
              <w:bottom w:w="0" w:type="dxa"/>
              <w:right w:w="105" w:type="dxa"/>
            </w:tcMar>
            <w:vAlign w:val="center"/>
          </w:tcPr>
          <w:p w14:paraId="302F8030">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能源电力特色类1学分</w:t>
            </w:r>
          </w:p>
        </w:tc>
      </w:tr>
      <w:tr w14:paraId="6B924DA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14:paraId="16AD955F">
            <w:pPr>
              <w:widowControl/>
              <w:spacing w:line="360" w:lineRule="auto"/>
              <w:jc w:val="center"/>
              <w:rPr>
                <w:rFonts w:hint="eastAsia" w:ascii="宋体" w:hAnsi="宋体" w:eastAsia="宋体" w:cs="宋体"/>
                <w:b/>
                <w:kern w:val="0"/>
                <w:szCs w:val="21"/>
              </w:rPr>
            </w:pPr>
          </w:p>
        </w:tc>
        <w:tc>
          <w:tcPr>
            <w:tcW w:w="1126" w:type="dxa"/>
            <w:vMerge w:val="restart"/>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8B68C5D">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通识选修课程</w:t>
            </w:r>
          </w:p>
        </w:tc>
        <w:tc>
          <w:tcPr>
            <w:tcW w:w="1158" w:type="dxa"/>
            <w:vMerge w:val="restart"/>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299C8BAD">
            <w:pPr>
              <w:widowControl/>
              <w:spacing w:line="360" w:lineRule="auto"/>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10</w:t>
            </w: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1A4C7254">
            <w:pPr>
              <w:widowControl/>
              <w:spacing w:line="300" w:lineRule="auto"/>
              <w:rPr>
                <w:rFonts w:hint="eastAsia" w:ascii="宋体" w:hAnsi="宋体" w:eastAsia="宋体" w:cs="宋体"/>
                <w:kern w:val="0"/>
                <w:szCs w:val="21"/>
                <w:highlight w:val="none"/>
              </w:rPr>
            </w:pPr>
            <w:r>
              <w:rPr>
                <w:rFonts w:hint="eastAsia" w:ascii="宋体" w:hAnsi="宋体" w:eastAsia="宋体" w:cs="宋体"/>
                <w:kern w:val="0"/>
                <w:szCs w:val="21"/>
                <w:highlight w:val="none"/>
              </w:rPr>
              <w:t>人文社科类（理工科类</w:t>
            </w:r>
            <w:r>
              <w:rPr>
                <w:rFonts w:hint="eastAsia" w:ascii="宋体" w:hAnsi="宋体" w:eastAsia="宋体" w:cs="宋体"/>
                <w:color w:val="000000"/>
                <w:kern w:val="0"/>
                <w:szCs w:val="21"/>
                <w:highlight w:val="none"/>
              </w:rPr>
              <w:t>≥</w:t>
            </w:r>
            <w:r>
              <w:rPr>
                <w:rFonts w:hint="eastAsia" w:ascii="宋体" w:hAnsi="宋体" w:eastAsia="宋体" w:cs="宋体"/>
                <w:kern w:val="0"/>
                <w:szCs w:val="21"/>
                <w:highlight w:val="none"/>
              </w:rPr>
              <w:t>2学分）</w:t>
            </w:r>
          </w:p>
        </w:tc>
      </w:tr>
      <w:tr w14:paraId="03D118E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14:paraId="51A18ECC">
            <w:pPr>
              <w:widowControl/>
              <w:spacing w:line="360" w:lineRule="auto"/>
              <w:rPr>
                <w:rFonts w:hint="eastAsia" w:ascii="宋体" w:hAnsi="宋体" w:eastAsia="宋体" w:cs="宋体"/>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12863A4">
            <w:pPr>
              <w:widowControl/>
              <w:spacing w:line="360" w:lineRule="auto"/>
              <w:rPr>
                <w:rFonts w:hint="eastAsia" w:ascii="宋体" w:hAnsi="宋体" w:eastAsia="宋体" w:cs="宋体"/>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44D5CF01">
            <w:pPr>
              <w:widowControl/>
              <w:spacing w:line="360" w:lineRule="auto"/>
              <w:rPr>
                <w:rFonts w:hint="eastAsia" w:ascii="宋体" w:hAnsi="宋体" w:eastAsia="宋体" w:cs="宋体"/>
                <w:szCs w:val="21"/>
                <w:highlight w:val="none"/>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158B6EFB">
            <w:pPr>
              <w:widowControl/>
              <w:spacing w:line="300" w:lineRule="auto"/>
              <w:rPr>
                <w:rFonts w:hint="eastAsia" w:ascii="宋体" w:hAnsi="宋体" w:eastAsia="宋体" w:cs="宋体"/>
                <w:kern w:val="0"/>
                <w:szCs w:val="21"/>
                <w:highlight w:val="none"/>
                <w:lang w:eastAsia="zh-CN"/>
              </w:rPr>
            </w:pPr>
            <w:r>
              <w:rPr>
                <w:rFonts w:hint="eastAsia" w:ascii="宋体" w:hAnsi="宋体" w:cs="宋体"/>
                <w:color w:val="auto"/>
                <w:kern w:val="0"/>
                <w:szCs w:val="21"/>
                <w:highlight w:val="none"/>
                <w:lang w:eastAsia="zh-CN"/>
              </w:rPr>
              <w:t>思政教育类</w:t>
            </w:r>
          </w:p>
        </w:tc>
      </w:tr>
      <w:tr w14:paraId="7699706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14:paraId="58DE4376">
            <w:pPr>
              <w:widowControl/>
              <w:spacing w:line="360" w:lineRule="auto"/>
              <w:rPr>
                <w:rFonts w:hint="eastAsia" w:ascii="宋体" w:hAnsi="宋体" w:eastAsia="宋体" w:cs="宋体"/>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56AB309B">
            <w:pPr>
              <w:widowControl/>
              <w:spacing w:line="360" w:lineRule="auto"/>
              <w:rPr>
                <w:rFonts w:hint="eastAsia" w:ascii="宋体" w:hAnsi="宋体" w:eastAsia="宋体" w:cs="宋体"/>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297FEDD9">
            <w:pPr>
              <w:widowControl/>
              <w:spacing w:line="360" w:lineRule="auto"/>
              <w:rPr>
                <w:rFonts w:hint="eastAsia" w:ascii="宋体" w:hAnsi="宋体" w:eastAsia="宋体" w:cs="宋体"/>
                <w:szCs w:val="21"/>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055099CC">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艺术审美类</w:t>
            </w:r>
          </w:p>
        </w:tc>
      </w:tr>
      <w:tr w14:paraId="67C633A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14:paraId="4B16693B">
            <w:pPr>
              <w:widowControl/>
              <w:spacing w:line="360" w:lineRule="auto"/>
              <w:rPr>
                <w:rFonts w:hint="eastAsia" w:ascii="宋体" w:hAnsi="宋体" w:eastAsia="宋体" w:cs="宋体"/>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2B8CAD53">
            <w:pPr>
              <w:widowControl/>
              <w:spacing w:line="360" w:lineRule="auto"/>
              <w:rPr>
                <w:rFonts w:hint="eastAsia" w:ascii="宋体" w:hAnsi="宋体" w:eastAsia="宋体" w:cs="宋体"/>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05B51DD0">
            <w:pPr>
              <w:widowControl/>
              <w:spacing w:line="360" w:lineRule="auto"/>
              <w:rPr>
                <w:rFonts w:hint="eastAsia" w:ascii="宋体" w:hAnsi="宋体" w:eastAsia="宋体" w:cs="宋体"/>
                <w:szCs w:val="21"/>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71D450C">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自然科学类（经管文类</w:t>
            </w:r>
            <w:r>
              <w:rPr>
                <w:rFonts w:hint="eastAsia" w:ascii="宋体" w:hAnsi="宋体" w:eastAsia="宋体" w:cs="宋体"/>
                <w:color w:val="000000"/>
                <w:kern w:val="0"/>
                <w:szCs w:val="21"/>
              </w:rPr>
              <w:t>≥</w:t>
            </w:r>
            <w:r>
              <w:rPr>
                <w:rFonts w:hint="eastAsia" w:ascii="宋体" w:hAnsi="宋体" w:eastAsia="宋体" w:cs="宋体"/>
                <w:kern w:val="0"/>
                <w:szCs w:val="21"/>
              </w:rPr>
              <w:t>2学分）</w:t>
            </w:r>
          </w:p>
        </w:tc>
      </w:tr>
      <w:tr w14:paraId="3411F4B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4" w:space="0"/>
              <w:right w:val="single" w:color="auto" w:sz="4" w:space="0"/>
            </w:tcBorders>
            <w:noWrap w:val="0"/>
            <w:vAlign w:val="center"/>
          </w:tcPr>
          <w:p w14:paraId="09D0157D">
            <w:pPr>
              <w:widowControl/>
              <w:spacing w:line="360" w:lineRule="auto"/>
              <w:rPr>
                <w:rFonts w:hint="eastAsia" w:ascii="宋体" w:hAnsi="宋体" w:eastAsia="宋体" w:cs="宋体"/>
                <w:kern w:val="0"/>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0C34827">
            <w:pPr>
              <w:widowControl/>
              <w:spacing w:line="360" w:lineRule="auto"/>
              <w:rPr>
                <w:rFonts w:hint="eastAsia" w:ascii="宋体" w:hAnsi="宋体" w:eastAsia="宋体" w:cs="宋体"/>
                <w:kern w:val="0"/>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5687CAE">
            <w:pPr>
              <w:widowControl/>
              <w:spacing w:line="360" w:lineRule="auto"/>
              <w:rPr>
                <w:rFonts w:hint="eastAsia" w:ascii="宋体" w:hAnsi="宋体" w:eastAsia="宋体" w:cs="宋体"/>
                <w:kern w:val="0"/>
                <w:szCs w:val="21"/>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4E3A25E6">
            <w:pPr>
              <w:widowControl/>
              <w:spacing w:line="300" w:lineRule="auto"/>
              <w:rPr>
                <w:rFonts w:hint="eastAsia" w:ascii="宋体" w:hAnsi="宋体" w:eastAsia="宋体" w:cs="宋体"/>
                <w:kern w:val="0"/>
                <w:szCs w:val="21"/>
                <w:lang w:eastAsia="zh-CN"/>
              </w:rPr>
            </w:pPr>
            <w:r>
              <w:rPr>
                <w:rFonts w:hint="eastAsia" w:ascii="宋体" w:hAnsi="宋体" w:cs="宋体"/>
                <w:kern w:val="0"/>
                <w:szCs w:val="21"/>
                <w:highlight w:val="none"/>
                <w:lang w:eastAsia="zh-CN"/>
              </w:rPr>
              <w:t>外语拓展类</w:t>
            </w:r>
          </w:p>
        </w:tc>
      </w:tr>
      <w:tr w14:paraId="3AB1289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1580" w:hRule="atLeast"/>
          <w:jc w:val="center"/>
        </w:trPr>
        <w:tc>
          <w:tcPr>
            <w:tcW w:w="892" w:type="dxa"/>
            <w:vMerge w:val="restart"/>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7F2D34BE">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学科基础课程</w:t>
            </w:r>
          </w:p>
        </w:tc>
        <w:tc>
          <w:tcPr>
            <w:tcW w:w="1126"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49F5844">
            <w:pPr>
              <w:widowControl/>
              <w:spacing w:line="360" w:lineRule="auto"/>
              <w:rPr>
                <w:rFonts w:hint="eastAsia" w:ascii="宋体" w:hAnsi="宋体" w:eastAsia="宋体" w:cs="宋体"/>
                <w:b/>
                <w:kern w:val="0"/>
                <w:szCs w:val="21"/>
              </w:rPr>
            </w:pPr>
            <w:r>
              <w:rPr>
                <w:rFonts w:hint="eastAsia" w:ascii="宋体" w:hAnsi="宋体" w:eastAsia="宋体" w:cs="宋体"/>
                <w:b/>
                <w:kern w:val="0"/>
                <w:szCs w:val="21"/>
              </w:rPr>
              <w:t>公共基础课（必修）</w:t>
            </w:r>
          </w:p>
        </w:tc>
        <w:tc>
          <w:tcPr>
            <w:tcW w:w="1158" w:type="dxa"/>
            <w:vMerge w:val="restart"/>
            <w:tcBorders>
              <w:top w:val="single" w:color="auto" w:sz="4" w:space="0"/>
              <w:left w:val="single" w:color="auto" w:sz="4" w:space="0"/>
              <w:bottom w:val="single" w:color="auto" w:sz="6" w:space="0"/>
              <w:right w:val="single" w:color="auto" w:sz="6" w:space="0"/>
            </w:tcBorders>
            <w:noWrap w:val="0"/>
            <w:tcMar>
              <w:top w:w="0" w:type="dxa"/>
              <w:left w:w="105" w:type="dxa"/>
              <w:bottom w:w="0" w:type="dxa"/>
              <w:right w:w="105" w:type="dxa"/>
            </w:tcMar>
            <w:vAlign w:val="center"/>
          </w:tcPr>
          <w:p w14:paraId="382BB5A2">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45-50</w:t>
            </w:r>
          </w:p>
        </w:tc>
        <w:tc>
          <w:tcPr>
            <w:tcW w:w="4954" w:type="dxa"/>
            <w:tcBorders>
              <w:top w:val="single" w:color="auto" w:sz="4" w:space="0"/>
              <w:left w:val="nil"/>
              <w:bottom w:val="single" w:color="auto" w:sz="6" w:space="0"/>
              <w:right w:val="single" w:color="auto" w:sz="6" w:space="0"/>
            </w:tcBorders>
            <w:noWrap w:val="0"/>
            <w:tcMar>
              <w:top w:w="0" w:type="dxa"/>
              <w:left w:w="105" w:type="dxa"/>
              <w:bottom w:w="0" w:type="dxa"/>
              <w:right w:w="105" w:type="dxa"/>
            </w:tcMar>
            <w:vAlign w:val="center"/>
          </w:tcPr>
          <w:p w14:paraId="3C7EA634">
            <w:pPr>
              <w:widowControl/>
              <w:spacing w:line="300" w:lineRule="auto"/>
              <w:rPr>
                <w:rFonts w:hint="default" w:ascii="宋体" w:hAnsi="宋体" w:eastAsia="宋体" w:cs="宋体"/>
                <w:kern w:val="0"/>
                <w:szCs w:val="21"/>
                <w:lang w:val="en-US" w:eastAsia="zh-CN"/>
              </w:rPr>
            </w:pPr>
            <w:r>
              <w:rPr>
                <w:rFonts w:hint="eastAsia" w:ascii="宋体" w:hAnsi="宋体" w:cs="宋体"/>
                <w:kern w:val="0"/>
                <w:szCs w:val="21"/>
                <w:highlight w:val="none"/>
                <w:lang w:eastAsia="zh-CN"/>
              </w:rPr>
              <w:t>数学类</w:t>
            </w:r>
            <w:r>
              <w:rPr>
                <w:rFonts w:hint="eastAsia" w:ascii="宋体" w:hAnsi="宋体" w:cs="宋体"/>
                <w:kern w:val="0"/>
                <w:szCs w:val="21"/>
                <w:highlight w:val="none"/>
                <w:lang w:val="en-US" w:eastAsia="zh-CN"/>
              </w:rPr>
              <w:t>[高等数学、线性代数、概率论与数理统计、复变函数与积分变换等]</w:t>
            </w:r>
            <w:r>
              <w:rPr>
                <w:rFonts w:hint="eastAsia" w:ascii="宋体" w:hAnsi="宋体" w:cs="宋体"/>
                <w:kern w:val="0"/>
                <w:szCs w:val="21"/>
                <w:highlight w:val="none"/>
                <w:lang w:eastAsia="zh-CN"/>
              </w:rPr>
              <w:t>，物理类</w:t>
            </w:r>
            <w:r>
              <w:rPr>
                <w:rFonts w:hint="eastAsia" w:ascii="宋体" w:hAnsi="宋体" w:cs="宋体"/>
                <w:kern w:val="0"/>
                <w:szCs w:val="21"/>
                <w:highlight w:val="none"/>
                <w:lang w:val="en-US" w:eastAsia="zh-CN"/>
              </w:rPr>
              <w:t>[</w:t>
            </w:r>
            <w:r>
              <w:rPr>
                <w:rFonts w:hint="eastAsia" w:ascii="宋体" w:hAnsi="宋体" w:eastAsia="宋体" w:cs="宋体"/>
                <w:kern w:val="0"/>
                <w:szCs w:val="21"/>
                <w:highlight w:val="none"/>
              </w:rPr>
              <w:t>大学物理、物理实验</w:t>
            </w:r>
            <w:r>
              <w:rPr>
                <w:rFonts w:hint="eastAsia" w:ascii="宋体" w:hAnsi="宋体" w:cs="宋体"/>
                <w:kern w:val="0"/>
                <w:szCs w:val="21"/>
                <w:highlight w:val="none"/>
                <w:lang w:val="en-US" w:eastAsia="zh-CN"/>
              </w:rPr>
              <w:t>]、图学类[机械制图、计算机辅助设计等]、力学类[工程力学]等。</w:t>
            </w:r>
          </w:p>
        </w:tc>
      </w:tr>
      <w:tr w14:paraId="43FA01D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top w:val="single" w:color="auto" w:sz="4" w:space="0"/>
              <w:left w:val="single" w:color="auto" w:sz="4" w:space="0"/>
              <w:bottom w:val="single" w:color="auto" w:sz="4" w:space="0"/>
              <w:right w:val="single" w:color="auto" w:sz="4" w:space="0"/>
            </w:tcBorders>
            <w:noWrap w:val="0"/>
            <w:vAlign w:val="center"/>
          </w:tcPr>
          <w:p w14:paraId="29AC573B">
            <w:pPr>
              <w:widowControl/>
              <w:spacing w:line="360" w:lineRule="auto"/>
              <w:jc w:val="center"/>
              <w:rPr>
                <w:rFonts w:hint="eastAsia" w:ascii="宋体" w:hAnsi="宋体" w:eastAsia="宋体" w:cs="宋体"/>
                <w:b/>
                <w:kern w:val="0"/>
                <w:szCs w:val="21"/>
              </w:rPr>
            </w:pPr>
          </w:p>
        </w:tc>
        <w:tc>
          <w:tcPr>
            <w:tcW w:w="1126"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8DCC1BE">
            <w:pPr>
              <w:widowControl/>
              <w:spacing w:line="360" w:lineRule="auto"/>
              <w:rPr>
                <w:rFonts w:hint="eastAsia" w:ascii="宋体" w:hAnsi="宋体" w:eastAsia="宋体" w:cs="宋体"/>
                <w:b/>
                <w:kern w:val="0"/>
                <w:szCs w:val="21"/>
              </w:rPr>
            </w:pPr>
            <w:r>
              <w:rPr>
                <w:rFonts w:hint="eastAsia" w:ascii="宋体" w:hAnsi="宋体" w:eastAsia="宋体" w:cs="宋体"/>
                <w:b/>
                <w:kern w:val="0"/>
                <w:szCs w:val="21"/>
              </w:rPr>
              <w:t>专业基础课（必修）</w:t>
            </w:r>
          </w:p>
        </w:tc>
        <w:tc>
          <w:tcPr>
            <w:tcW w:w="1158" w:type="dxa"/>
            <w:vMerge w:val="continue"/>
            <w:tcBorders>
              <w:top w:val="nil"/>
              <w:left w:val="single" w:color="auto" w:sz="4" w:space="0"/>
              <w:bottom w:val="single" w:color="auto" w:sz="6" w:space="0"/>
              <w:right w:val="single" w:color="auto" w:sz="6" w:space="0"/>
            </w:tcBorders>
            <w:noWrap w:val="0"/>
            <w:vAlign w:val="center"/>
          </w:tcPr>
          <w:p w14:paraId="4DE2D360">
            <w:pPr>
              <w:widowControl/>
              <w:spacing w:line="360" w:lineRule="auto"/>
              <w:jc w:val="center"/>
              <w:rPr>
                <w:rFonts w:hint="eastAsia" w:ascii="宋体" w:hAnsi="宋体" w:eastAsia="宋体" w:cs="宋体"/>
                <w:kern w:val="0"/>
                <w:szCs w:val="21"/>
              </w:rPr>
            </w:pPr>
          </w:p>
        </w:tc>
        <w:tc>
          <w:tcPr>
            <w:tcW w:w="4954" w:type="dxa"/>
            <w:tcBorders>
              <w:top w:val="nil"/>
              <w:left w:val="nil"/>
              <w:bottom w:val="single" w:color="auto" w:sz="6" w:space="0"/>
              <w:right w:val="single" w:color="auto" w:sz="6" w:space="0"/>
            </w:tcBorders>
            <w:noWrap w:val="0"/>
            <w:vAlign w:val="center"/>
          </w:tcPr>
          <w:p w14:paraId="4D548D47">
            <w:pPr>
              <w:widowControl/>
              <w:spacing w:line="300" w:lineRule="auto"/>
              <w:ind w:firstLine="105" w:firstLineChars="50"/>
              <w:rPr>
                <w:rFonts w:hint="eastAsia" w:ascii="宋体" w:hAnsi="宋体" w:eastAsia="宋体" w:cs="宋体"/>
                <w:kern w:val="0"/>
                <w:szCs w:val="21"/>
                <w:lang w:eastAsia="zh-CN"/>
              </w:rPr>
            </w:pPr>
            <w:r>
              <w:rPr>
                <w:rFonts w:hint="eastAsia" w:ascii="宋体" w:hAnsi="宋体" w:eastAsia="宋体" w:cs="宋体"/>
                <w:kern w:val="0"/>
                <w:szCs w:val="21"/>
                <w:highlight w:val="none"/>
              </w:rPr>
              <w:t>各专业制定，按照</w:t>
            </w:r>
            <w:r>
              <w:rPr>
                <w:rFonts w:hint="eastAsia" w:ascii="宋体" w:hAnsi="宋体" w:cs="宋体"/>
                <w:kern w:val="0"/>
                <w:szCs w:val="21"/>
                <w:highlight w:val="none"/>
                <w:lang w:eastAsia="zh-CN"/>
              </w:rPr>
              <w:t>学科大类下</w:t>
            </w:r>
            <w:r>
              <w:rPr>
                <w:rFonts w:hint="eastAsia" w:ascii="宋体" w:hAnsi="宋体" w:eastAsia="宋体" w:cs="宋体"/>
                <w:kern w:val="0"/>
                <w:szCs w:val="21"/>
                <w:highlight w:val="none"/>
              </w:rPr>
              <w:t>设置专业基础课程</w:t>
            </w:r>
            <w:r>
              <w:rPr>
                <w:rFonts w:hint="eastAsia" w:ascii="宋体" w:hAnsi="宋体" w:cs="宋体"/>
                <w:kern w:val="0"/>
                <w:szCs w:val="21"/>
                <w:highlight w:val="none"/>
                <w:lang w:eastAsia="zh-CN"/>
              </w:rPr>
              <w:t>。</w:t>
            </w:r>
          </w:p>
        </w:tc>
      </w:tr>
      <w:tr w14:paraId="5A20225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restart"/>
            <w:tcBorders>
              <w:top w:val="single" w:color="auto" w:sz="4" w:space="0"/>
              <w:left w:val="single" w:color="auto" w:sz="6" w:space="0"/>
              <w:right w:val="single" w:color="auto" w:sz="6" w:space="0"/>
            </w:tcBorders>
            <w:noWrap w:val="0"/>
            <w:tcMar>
              <w:top w:w="0" w:type="dxa"/>
              <w:left w:w="105" w:type="dxa"/>
              <w:bottom w:w="0" w:type="dxa"/>
              <w:right w:w="105" w:type="dxa"/>
            </w:tcMar>
            <w:vAlign w:val="center"/>
          </w:tcPr>
          <w:p w14:paraId="61DFEB39">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专业教育课程</w:t>
            </w:r>
          </w:p>
        </w:tc>
        <w:tc>
          <w:tcPr>
            <w:tcW w:w="1126" w:type="dxa"/>
            <w:tcBorders>
              <w:top w:val="single" w:color="auto" w:sz="4" w:space="0"/>
              <w:left w:val="nil"/>
              <w:bottom w:val="single" w:color="auto" w:sz="6" w:space="0"/>
              <w:right w:val="single" w:color="auto" w:sz="6" w:space="0"/>
            </w:tcBorders>
            <w:noWrap w:val="0"/>
            <w:tcMar>
              <w:top w:w="0" w:type="dxa"/>
              <w:left w:w="105" w:type="dxa"/>
              <w:bottom w:w="0" w:type="dxa"/>
              <w:right w:w="105" w:type="dxa"/>
            </w:tcMar>
            <w:vAlign w:val="center"/>
          </w:tcPr>
          <w:p w14:paraId="2399BB0F">
            <w:pPr>
              <w:widowControl/>
              <w:spacing w:line="360" w:lineRule="auto"/>
              <w:rPr>
                <w:rFonts w:hint="eastAsia" w:ascii="宋体" w:hAnsi="宋体" w:eastAsia="宋体" w:cs="宋体"/>
                <w:b/>
                <w:kern w:val="0"/>
                <w:szCs w:val="21"/>
              </w:rPr>
            </w:pPr>
            <w:r>
              <w:rPr>
                <w:rFonts w:hint="eastAsia" w:ascii="宋体" w:hAnsi="宋体" w:eastAsia="宋体" w:cs="宋体"/>
                <w:b/>
                <w:kern w:val="0"/>
                <w:szCs w:val="21"/>
              </w:rPr>
              <w:t>专业核心课（必修）</w:t>
            </w:r>
          </w:p>
        </w:tc>
        <w:tc>
          <w:tcPr>
            <w:tcW w:w="1158"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14:paraId="120E3A00">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20-24</w:t>
            </w: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14:paraId="32D0F6E0">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设置5～7门体现专业特色的核心课程，每门课程不少于3学分。</w:t>
            </w:r>
          </w:p>
        </w:tc>
      </w:tr>
      <w:tr w14:paraId="552A9B3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14:paraId="2878DFBF">
            <w:pPr>
              <w:widowControl/>
              <w:spacing w:line="360" w:lineRule="auto"/>
              <w:jc w:val="center"/>
              <w:rPr>
                <w:rFonts w:hint="eastAsia" w:ascii="宋体" w:hAnsi="宋体" w:eastAsia="宋体" w:cs="宋体"/>
                <w:b/>
                <w:kern w:val="0"/>
                <w:szCs w:val="21"/>
              </w:rPr>
            </w:pPr>
          </w:p>
        </w:tc>
        <w:tc>
          <w:tcPr>
            <w:tcW w:w="1126" w:type="dxa"/>
            <w:vMerge w:val="restart"/>
            <w:tcBorders>
              <w:top w:val="single" w:color="auto" w:sz="6" w:space="0"/>
              <w:left w:val="single" w:color="auto" w:sz="6" w:space="0"/>
              <w:right w:val="single" w:color="auto" w:sz="6" w:space="0"/>
            </w:tcBorders>
            <w:noWrap w:val="0"/>
            <w:tcMar>
              <w:top w:w="0" w:type="dxa"/>
              <w:left w:w="105" w:type="dxa"/>
              <w:bottom w:w="0" w:type="dxa"/>
              <w:right w:w="105" w:type="dxa"/>
            </w:tcMar>
            <w:vAlign w:val="center"/>
          </w:tcPr>
          <w:p w14:paraId="793D2AF0">
            <w:pPr>
              <w:widowControl/>
              <w:spacing w:line="360" w:lineRule="auto"/>
              <w:jc w:val="center"/>
              <w:rPr>
                <w:rFonts w:hint="eastAsia" w:ascii="宋体" w:hAnsi="宋体" w:eastAsia="宋体" w:cs="宋体"/>
                <w:b/>
                <w:kern w:val="0"/>
                <w:szCs w:val="21"/>
                <w:lang w:eastAsia="zh-CN"/>
              </w:rPr>
            </w:pPr>
            <w:r>
              <w:rPr>
                <w:rFonts w:hint="eastAsia" w:ascii="宋体" w:hAnsi="宋体" w:eastAsia="宋体" w:cs="宋体"/>
                <w:b/>
                <w:kern w:val="0"/>
                <w:szCs w:val="21"/>
              </w:rPr>
              <w:t>专业选 修课</w:t>
            </w:r>
          </w:p>
        </w:tc>
        <w:tc>
          <w:tcPr>
            <w:tcW w:w="1158"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14:paraId="144589F4">
            <w:pPr>
              <w:widowControl/>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none"/>
              </w:rPr>
              <w:t>专业自定</w:t>
            </w:r>
            <w:r>
              <w:rPr>
                <w:rFonts w:hint="eastAsia" w:ascii="宋体" w:hAnsi="宋体" w:cs="宋体"/>
                <w:color w:val="auto"/>
                <w:kern w:val="0"/>
                <w:szCs w:val="21"/>
                <w:highlight w:val="none"/>
                <w:u w:val="none"/>
                <w:lang w:val="en-US" w:eastAsia="zh-CN"/>
              </w:rPr>
              <w:t>15</w:t>
            </w:r>
          </w:p>
        </w:tc>
        <w:tc>
          <w:tcPr>
            <w:tcW w:w="4954"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14:paraId="60ACF4AA">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各专业要开设不少于应修学分1.5倍学分的专业选修课</w:t>
            </w:r>
            <w:r>
              <w:rPr>
                <w:rFonts w:hint="eastAsia" w:ascii="宋体" w:hAnsi="宋体" w:cs="宋体"/>
                <w:kern w:val="0"/>
                <w:szCs w:val="21"/>
                <w:highlight w:val="none"/>
                <w:lang w:eastAsia="zh-CN"/>
              </w:rPr>
              <w:t>（含</w:t>
            </w:r>
            <w:r>
              <w:rPr>
                <w:rFonts w:hint="eastAsia" w:ascii="宋体" w:hAnsi="宋体" w:eastAsia="宋体" w:cs="宋体"/>
                <w:color w:val="auto"/>
                <w:kern w:val="0"/>
                <w:szCs w:val="21"/>
                <w:highlight w:val="none"/>
              </w:rPr>
              <w:t>具有学科专业特色的创新创业课程2学分</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w:t>
            </w:r>
          </w:p>
        </w:tc>
      </w:tr>
      <w:tr w14:paraId="348736F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6" w:space="0"/>
            </w:tcBorders>
            <w:noWrap w:val="0"/>
            <w:vAlign w:val="center"/>
          </w:tcPr>
          <w:p w14:paraId="490F5844">
            <w:pPr>
              <w:widowControl/>
              <w:spacing w:line="360" w:lineRule="auto"/>
              <w:jc w:val="center"/>
              <w:rPr>
                <w:rFonts w:hint="eastAsia" w:ascii="宋体" w:hAnsi="宋体" w:eastAsia="宋体" w:cs="宋体"/>
                <w:b/>
                <w:kern w:val="0"/>
                <w:szCs w:val="21"/>
              </w:rPr>
            </w:pPr>
          </w:p>
        </w:tc>
        <w:tc>
          <w:tcPr>
            <w:tcW w:w="1126" w:type="dxa"/>
            <w:vMerge w:val="continue"/>
            <w:tcBorders>
              <w:left w:val="single" w:color="auto" w:sz="6" w:space="0"/>
              <w:bottom w:val="single" w:color="auto" w:sz="6" w:space="0"/>
              <w:right w:val="single" w:color="auto" w:sz="6" w:space="0"/>
            </w:tcBorders>
            <w:noWrap w:val="0"/>
            <w:tcMar>
              <w:top w:w="0" w:type="dxa"/>
              <w:left w:w="105" w:type="dxa"/>
              <w:bottom w:w="0" w:type="dxa"/>
              <w:right w:w="105" w:type="dxa"/>
            </w:tcMar>
            <w:vAlign w:val="center"/>
          </w:tcPr>
          <w:p w14:paraId="10A52E47">
            <w:pPr>
              <w:widowControl/>
              <w:spacing w:line="360" w:lineRule="auto"/>
              <w:jc w:val="center"/>
              <w:rPr>
                <w:rFonts w:hint="eastAsia" w:ascii="宋体" w:hAnsi="宋体" w:eastAsia="宋体" w:cs="宋体"/>
                <w:b/>
                <w:kern w:val="0"/>
                <w:szCs w:val="21"/>
                <w:lang w:eastAsia="zh-CN"/>
              </w:rPr>
            </w:pPr>
          </w:p>
        </w:tc>
        <w:tc>
          <w:tcPr>
            <w:tcW w:w="1158"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14:paraId="33CDE52A">
            <w:pPr>
              <w:widowControl/>
              <w:spacing w:line="360" w:lineRule="auto"/>
              <w:jc w:val="center"/>
              <w:rPr>
                <w:rFonts w:hint="eastAsia" w:ascii="宋体" w:hAnsi="宋体" w:cs="宋体"/>
                <w:color w:val="auto"/>
                <w:kern w:val="0"/>
                <w:szCs w:val="21"/>
                <w:highlight w:val="none"/>
                <w:u w:val="none"/>
                <w:lang w:val="en-US" w:eastAsia="zh-CN"/>
              </w:rPr>
            </w:pPr>
            <w:r>
              <w:rPr>
                <w:rFonts w:hint="eastAsia" w:ascii="宋体" w:hAnsi="宋体" w:cs="宋体"/>
                <w:color w:val="auto"/>
                <w:kern w:val="0"/>
                <w:szCs w:val="21"/>
                <w:highlight w:val="none"/>
                <w:u w:val="none"/>
                <w:lang w:val="en-US" w:eastAsia="zh-CN"/>
              </w:rPr>
              <w:t>跨学科</w:t>
            </w:r>
          </w:p>
          <w:p w14:paraId="198C59DD">
            <w:pPr>
              <w:widowControl/>
              <w:spacing w:line="360" w:lineRule="auto"/>
              <w:jc w:val="center"/>
              <w:rPr>
                <w:rFonts w:hint="default" w:ascii="宋体" w:hAnsi="宋体" w:eastAsia="宋体" w:cs="宋体"/>
                <w:color w:val="auto"/>
                <w:kern w:val="0"/>
                <w:szCs w:val="21"/>
                <w:highlight w:val="yellow"/>
                <w:u w:val="none"/>
                <w:lang w:val="en-US" w:eastAsia="zh-CN"/>
              </w:rPr>
            </w:pPr>
            <w:r>
              <w:rPr>
                <w:rFonts w:hint="eastAsia" w:ascii="宋体" w:hAnsi="宋体" w:cs="宋体"/>
                <w:color w:val="auto"/>
                <w:kern w:val="0"/>
                <w:szCs w:val="21"/>
                <w:highlight w:val="none"/>
                <w:u w:val="none"/>
                <w:lang w:val="en-US" w:eastAsia="zh-CN"/>
              </w:rPr>
              <w:t>2</w:t>
            </w:r>
          </w:p>
        </w:tc>
        <w:tc>
          <w:tcPr>
            <w:tcW w:w="4954"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14:paraId="6E9A7631">
            <w:pPr>
              <w:widowControl/>
              <w:spacing w:line="300" w:lineRule="auto"/>
              <w:rPr>
                <w:rFonts w:hint="default" w:ascii="宋体" w:hAnsi="宋体" w:eastAsia="宋体" w:cs="宋体"/>
                <w:kern w:val="0"/>
                <w:szCs w:val="21"/>
                <w:highlight w:val="yellow"/>
                <w:lang w:val="en-US" w:eastAsia="zh-CN"/>
              </w:rPr>
            </w:pPr>
            <w:r>
              <w:rPr>
                <w:rFonts w:hint="eastAsia" w:ascii="宋体" w:hAnsi="宋体" w:cs="宋体"/>
                <w:kern w:val="0"/>
                <w:szCs w:val="21"/>
                <w:highlight w:val="none"/>
                <w:lang w:val="en-US" w:eastAsia="zh-CN"/>
              </w:rPr>
              <w:t>学生修读非本学院开设的交叉融合课程，累计完成2学分。</w:t>
            </w:r>
          </w:p>
        </w:tc>
      </w:tr>
      <w:tr w14:paraId="7B34407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tcBorders>
              <w:top w:val="nil"/>
              <w:left w:val="single" w:color="auto" w:sz="6" w:space="0"/>
              <w:bottom w:val="single" w:color="auto" w:sz="6" w:space="0"/>
              <w:right w:val="single" w:color="auto" w:sz="6" w:space="0"/>
            </w:tcBorders>
            <w:noWrap w:val="0"/>
            <w:tcMar>
              <w:top w:w="0" w:type="dxa"/>
              <w:left w:w="105" w:type="dxa"/>
              <w:bottom w:w="0" w:type="dxa"/>
              <w:right w:w="105" w:type="dxa"/>
            </w:tcMar>
            <w:vAlign w:val="center"/>
          </w:tcPr>
          <w:p w14:paraId="180B86CC">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集中实践课程</w:t>
            </w:r>
          </w:p>
        </w:tc>
        <w:tc>
          <w:tcPr>
            <w:tcW w:w="1126"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14:paraId="4156DDD7">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专业实践课程</w:t>
            </w:r>
          </w:p>
        </w:tc>
        <w:tc>
          <w:tcPr>
            <w:tcW w:w="1158"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14:paraId="3D1C2679">
            <w:pPr>
              <w:widowControl/>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专业自定</w:t>
            </w:r>
            <w:r>
              <w:rPr>
                <w:rFonts w:hint="eastAsia" w:ascii="宋体" w:hAnsi="宋体" w:cs="宋体"/>
                <w:color w:val="auto"/>
                <w:kern w:val="0"/>
                <w:szCs w:val="21"/>
                <w:highlight w:val="none"/>
                <w:lang w:val="en-US" w:eastAsia="zh-CN"/>
              </w:rPr>
              <w:t>28</w:t>
            </w:r>
          </w:p>
        </w:tc>
        <w:tc>
          <w:tcPr>
            <w:tcW w:w="4954"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14:paraId="4AB94371">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专业实习、工程实训、军事技能、创新创业训练与实践、毕业实习、毕业</w:t>
            </w:r>
            <w:r>
              <w:rPr>
                <w:rFonts w:hint="eastAsia" w:ascii="宋体" w:hAnsi="宋体" w:cs="宋体"/>
                <w:kern w:val="0"/>
                <w:szCs w:val="21"/>
                <w:lang w:eastAsia="zh-CN"/>
              </w:rPr>
              <w:t>设计</w:t>
            </w:r>
            <w:r>
              <w:rPr>
                <w:rFonts w:hint="eastAsia" w:ascii="宋体" w:hAnsi="宋体" w:eastAsia="宋体" w:cs="宋体"/>
                <w:kern w:val="0"/>
                <w:szCs w:val="21"/>
              </w:rPr>
              <w:t>（</w:t>
            </w:r>
            <w:r>
              <w:rPr>
                <w:rFonts w:hint="eastAsia" w:ascii="宋体" w:hAnsi="宋体" w:cs="宋体"/>
                <w:kern w:val="0"/>
                <w:szCs w:val="21"/>
                <w:lang w:eastAsia="zh-CN"/>
              </w:rPr>
              <w:t>论文</w:t>
            </w:r>
            <w:r>
              <w:rPr>
                <w:rFonts w:hint="eastAsia" w:ascii="宋体" w:hAnsi="宋体" w:eastAsia="宋体" w:cs="宋体"/>
                <w:kern w:val="0"/>
                <w:szCs w:val="21"/>
              </w:rPr>
              <w:t>）等，不包括课内实验及单独实验课。</w:t>
            </w:r>
          </w:p>
        </w:tc>
      </w:tr>
    </w:tbl>
    <w:p w14:paraId="320BFEFE">
      <w:pPr>
        <w:widowControl/>
        <w:spacing w:line="360" w:lineRule="auto"/>
        <w:jc w:val="left"/>
        <w:rPr>
          <w:rFonts w:hint="eastAsia" w:ascii="宋体" w:hAnsi="宋体" w:eastAsia="宋体" w:cs="宋体"/>
          <w:b w:val="0"/>
          <w:bCs/>
          <w:sz w:val="21"/>
          <w:szCs w:val="21"/>
          <w:lang w:eastAsia="zh-CN"/>
        </w:rPr>
      </w:pPr>
      <w:r>
        <w:rPr>
          <w:rFonts w:hint="eastAsia" w:ascii="宋体" w:hAnsi="宋体" w:eastAsia="宋体" w:cs="宋体"/>
          <w:b w:val="0"/>
          <w:bCs/>
          <w:sz w:val="21"/>
          <w:szCs w:val="21"/>
        </w:rPr>
        <w:t xml:space="preserve"> </w:t>
      </w:r>
      <w:r>
        <w:rPr>
          <w:rFonts w:hint="eastAsia" w:ascii="宋体" w:hAnsi="宋体" w:cs="宋体"/>
          <w:b w:val="0"/>
          <w:bCs/>
          <w:sz w:val="21"/>
          <w:szCs w:val="21"/>
          <w:highlight w:val="none"/>
          <w:lang w:eastAsia="zh-CN"/>
        </w:rPr>
        <w:t>注：除通识教育课程学分外，其他类别课程学分可根据实际情况进行统筹。</w:t>
      </w:r>
    </w:p>
    <w:p w14:paraId="6215C5C8">
      <w:pPr>
        <w:widowControl/>
        <w:spacing w:line="360" w:lineRule="auto"/>
        <w:rPr>
          <w:rFonts w:hint="eastAsia" w:ascii="宋体" w:hAnsi="宋体" w:eastAsia="宋体" w:cs="宋体"/>
          <w:b/>
          <w:sz w:val="28"/>
          <w:szCs w:val="28"/>
        </w:rPr>
      </w:pPr>
      <w:r>
        <w:rPr>
          <w:rFonts w:hint="eastAsia" w:ascii="宋体" w:hAnsi="宋体" w:eastAsia="宋体" w:cs="宋体"/>
          <w:b/>
          <w:sz w:val="28"/>
          <w:szCs w:val="28"/>
        </w:rPr>
        <w:t>（一）通识教育课程</w:t>
      </w:r>
    </w:p>
    <w:p w14:paraId="51D630C9">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通识教育课程分为必修和选修两类，其中，必修课程包括思想政治类、语言与工具类、综合素养类、创新创业与就业指导类、能源电力特色</w:t>
      </w:r>
      <w:r>
        <w:rPr>
          <w:rFonts w:hint="eastAsia" w:ascii="宋体" w:hAnsi="宋体" w:eastAsia="宋体" w:cs="宋体"/>
          <w:sz w:val="28"/>
          <w:szCs w:val="28"/>
          <w:highlight w:val="none"/>
        </w:rPr>
        <w:t>类5个课程模块；</w:t>
      </w:r>
      <w:r>
        <w:rPr>
          <w:rFonts w:hint="eastAsia" w:ascii="宋体" w:hAnsi="宋体" w:eastAsia="宋体" w:cs="宋体"/>
          <w:color w:val="auto"/>
          <w:sz w:val="28"/>
          <w:szCs w:val="28"/>
          <w:highlight w:val="none"/>
          <w:u w:val="none"/>
        </w:rPr>
        <w:t>选修课程包括人文社科类、</w:t>
      </w:r>
      <w:r>
        <w:rPr>
          <w:rFonts w:hint="eastAsia" w:ascii="宋体" w:hAnsi="宋体" w:cs="宋体"/>
          <w:color w:val="auto"/>
          <w:sz w:val="28"/>
          <w:szCs w:val="28"/>
          <w:highlight w:val="none"/>
          <w:u w:val="none"/>
          <w:lang w:eastAsia="zh-CN"/>
        </w:rPr>
        <w:t>思政教育类、</w:t>
      </w:r>
      <w:r>
        <w:rPr>
          <w:rFonts w:hint="eastAsia" w:ascii="宋体" w:hAnsi="宋体" w:eastAsia="宋体" w:cs="宋体"/>
          <w:color w:val="auto"/>
          <w:sz w:val="28"/>
          <w:szCs w:val="28"/>
          <w:highlight w:val="none"/>
          <w:u w:val="none"/>
        </w:rPr>
        <w:t>艺术审美类、自然科学类、</w:t>
      </w:r>
      <w:r>
        <w:rPr>
          <w:rFonts w:hint="eastAsia" w:ascii="宋体" w:hAnsi="宋体" w:cs="宋体"/>
          <w:color w:val="auto"/>
          <w:sz w:val="28"/>
          <w:szCs w:val="28"/>
          <w:highlight w:val="none"/>
          <w:u w:val="none"/>
          <w:lang w:eastAsia="zh-CN"/>
        </w:rPr>
        <w:t>外语</w:t>
      </w:r>
      <w:r>
        <w:rPr>
          <w:rFonts w:hint="eastAsia" w:ascii="宋体" w:hAnsi="宋体" w:eastAsia="宋体" w:cs="宋体"/>
          <w:color w:val="auto"/>
          <w:sz w:val="28"/>
          <w:szCs w:val="28"/>
          <w:highlight w:val="none"/>
          <w:u w:val="none"/>
        </w:rPr>
        <w:t>拓展类</w:t>
      </w: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个课程模块。</w:t>
      </w:r>
      <w:r>
        <w:rPr>
          <w:rFonts w:hint="eastAsia" w:ascii="宋体" w:hAnsi="宋体" w:eastAsia="宋体" w:cs="宋体"/>
          <w:sz w:val="28"/>
          <w:szCs w:val="28"/>
          <w:highlight w:val="none"/>
        </w:rPr>
        <w:t>其中，</w:t>
      </w:r>
      <w:r>
        <w:rPr>
          <w:rFonts w:hint="eastAsia" w:ascii="宋体" w:hAnsi="宋体" w:eastAsia="宋体" w:cs="宋体"/>
          <w:sz w:val="28"/>
          <w:szCs w:val="28"/>
        </w:rPr>
        <w:t>通识必</w:t>
      </w:r>
      <w:r>
        <w:rPr>
          <w:rFonts w:hint="eastAsia" w:ascii="宋体" w:hAnsi="宋体" w:eastAsia="宋体" w:cs="宋体"/>
          <w:sz w:val="28"/>
          <w:szCs w:val="28"/>
          <w:highlight w:val="none"/>
        </w:rPr>
        <w:t>修课程为</w:t>
      </w:r>
      <w:r>
        <w:rPr>
          <w:rFonts w:hint="eastAsia" w:ascii="宋体" w:hAnsi="宋体" w:cs="宋体"/>
          <w:sz w:val="28"/>
          <w:szCs w:val="28"/>
          <w:highlight w:val="none"/>
          <w:lang w:val="en-US" w:eastAsia="zh-CN"/>
        </w:rPr>
        <w:t>39.5-43.5</w:t>
      </w:r>
      <w:r>
        <w:rPr>
          <w:rFonts w:hint="eastAsia" w:ascii="宋体" w:hAnsi="宋体" w:eastAsia="宋体" w:cs="宋体"/>
          <w:sz w:val="28"/>
          <w:szCs w:val="28"/>
          <w:highlight w:val="none"/>
        </w:rPr>
        <w:t>学分，通识选修课程不少于</w:t>
      </w:r>
      <w:r>
        <w:rPr>
          <w:rFonts w:hint="eastAsia" w:ascii="宋体" w:hAnsi="宋体" w:cs="宋体"/>
          <w:sz w:val="28"/>
          <w:szCs w:val="28"/>
          <w:highlight w:val="none"/>
          <w:lang w:val="en-US" w:eastAsia="zh-CN"/>
        </w:rPr>
        <w:t>10</w:t>
      </w:r>
      <w:r>
        <w:rPr>
          <w:rFonts w:hint="eastAsia" w:ascii="宋体" w:hAnsi="宋体" w:eastAsia="宋体" w:cs="宋体"/>
          <w:sz w:val="28"/>
          <w:szCs w:val="28"/>
          <w:highlight w:val="none"/>
        </w:rPr>
        <w:t>学分。</w:t>
      </w:r>
    </w:p>
    <w:p w14:paraId="32A3F309">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1.通识必修课程</w:t>
      </w:r>
    </w:p>
    <w:p w14:paraId="6A32D3C6">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（1）思想政治类课程</w:t>
      </w:r>
    </w:p>
    <w:p w14:paraId="36AA0F89">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思想政治类必修课程包括马克思主义基本原理、思想道德与法治、中国近现代史纲要、毛泽东思想和中国特色社会主理论体系概论、</w:t>
      </w:r>
      <w:r>
        <w:rPr>
          <w:rFonts w:hint="eastAsia" w:ascii="宋体" w:hAnsi="宋体" w:cs="宋体"/>
          <w:color w:val="auto"/>
          <w:sz w:val="28"/>
          <w:szCs w:val="28"/>
          <w:lang w:val="en-US" w:eastAsia="zh-CN"/>
        </w:rPr>
        <w:t>习近平新时代中国特色社会主义思想概论、</w:t>
      </w:r>
      <w:r>
        <w:rPr>
          <w:rFonts w:hint="eastAsia" w:ascii="宋体" w:hAnsi="宋体" w:eastAsia="宋体" w:cs="宋体"/>
          <w:sz w:val="28"/>
          <w:szCs w:val="28"/>
        </w:rPr>
        <w:t>形势与政策等</w:t>
      </w:r>
      <w:r>
        <w:rPr>
          <w:rFonts w:hint="eastAsia" w:ascii="宋体" w:hAnsi="宋体" w:cs="宋体"/>
          <w:sz w:val="28"/>
          <w:szCs w:val="28"/>
          <w:lang w:val="en-US" w:eastAsia="zh-CN"/>
        </w:rPr>
        <w:t>6</w:t>
      </w:r>
      <w:r>
        <w:rPr>
          <w:rFonts w:hint="eastAsia" w:ascii="宋体" w:hAnsi="宋体" w:eastAsia="宋体" w:cs="宋体"/>
          <w:sz w:val="28"/>
          <w:szCs w:val="28"/>
        </w:rPr>
        <w:t>门（见表3），共1</w:t>
      </w:r>
      <w:r>
        <w:rPr>
          <w:rFonts w:hint="eastAsia" w:ascii="宋体" w:hAnsi="宋体" w:cs="宋体"/>
          <w:sz w:val="28"/>
          <w:szCs w:val="28"/>
          <w:lang w:val="en-US" w:eastAsia="zh-CN"/>
        </w:rPr>
        <w:t>7</w:t>
      </w:r>
      <w:r>
        <w:rPr>
          <w:rFonts w:hint="eastAsia" w:ascii="宋体" w:hAnsi="宋体" w:eastAsia="宋体" w:cs="宋体"/>
          <w:sz w:val="28"/>
          <w:szCs w:val="28"/>
        </w:rPr>
        <w:t>个学分，其中理论教学1</w:t>
      </w:r>
      <w:r>
        <w:rPr>
          <w:rFonts w:hint="eastAsia" w:ascii="宋体" w:hAnsi="宋体" w:cs="宋体"/>
          <w:sz w:val="28"/>
          <w:szCs w:val="28"/>
          <w:lang w:val="en-US" w:eastAsia="zh-CN"/>
        </w:rPr>
        <w:t>5</w:t>
      </w:r>
      <w:r>
        <w:rPr>
          <w:rFonts w:hint="eastAsia" w:ascii="宋体" w:hAnsi="宋体" w:eastAsia="宋体" w:cs="宋体"/>
          <w:sz w:val="28"/>
          <w:szCs w:val="28"/>
        </w:rPr>
        <w:t>学分，实践教学2学分。实践教学以体验、考察、调研、公益活动等形式进行，具体安排由马克思主义学院制订，教务处审定。</w:t>
      </w:r>
    </w:p>
    <w:p w14:paraId="66B60085">
      <w:pPr>
        <w:widowControl/>
        <w:spacing w:line="360" w:lineRule="auto"/>
        <w:ind w:firstLine="560" w:firstLineChars="200"/>
        <w:rPr>
          <w:rFonts w:hint="eastAsia" w:ascii="宋体" w:hAnsi="宋体" w:eastAsia="宋体" w:cs="宋体"/>
          <w:sz w:val="28"/>
          <w:szCs w:val="28"/>
          <w:highlight w:val="yellow"/>
        </w:rPr>
      </w:pPr>
      <w:r>
        <w:rPr>
          <w:rFonts w:hint="eastAsia" w:ascii="宋体" w:hAnsi="宋体" w:eastAsia="宋体" w:cs="宋体"/>
          <w:sz w:val="28"/>
          <w:szCs w:val="28"/>
        </w:rPr>
        <w:t>形势与政策课程以专题讲座、社会实践等形式均</w:t>
      </w:r>
      <w:r>
        <w:rPr>
          <w:rFonts w:hint="eastAsia" w:ascii="宋体" w:hAnsi="宋体" w:eastAsia="宋体" w:cs="宋体"/>
          <w:sz w:val="28"/>
          <w:szCs w:val="28"/>
          <w:highlight w:val="none"/>
        </w:rPr>
        <w:t>衡在第1～6学期内完成，每学期由马克思主义学院制定具体讲座计划，教务处统一安排。</w:t>
      </w:r>
    </w:p>
    <w:p w14:paraId="1C6021CE">
      <w:pPr>
        <w:widowControl/>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表3</w:t>
      </w:r>
      <w:r>
        <w:rPr>
          <w:rFonts w:hint="eastAsia" w:ascii="宋体" w:hAnsi="宋体" w:eastAsia="宋体" w:cs="宋体"/>
          <w:b/>
          <w:sz w:val="24"/>
          <w:szCs w:val="24"/>
          <w:lang w:eastAsia="zh-CN"/>
        </w:rPr>
        <w:t>：</w:t>
      </w:r>
      <w:r>
        <w:rPr>
          <w:rFonts w:hint="eastAsia" w:ascii="宋体" w:hAnsi="宋体" w:eastAsia="宋体" w:cs="宋体"/>
          <w:b/>
          <w:sz w:val="24"/>
          <w:szCs w:val="24"/>
        </w:rPr>
        <w:t>思想政治类课程</w:t>
      </w:r>
    </w:p>
    <w:tbl>
      <w:tblPr>
        <w:tblStyle w:val="5"/>
        <w:tblW w:w="0" w:type="auto"/>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5100"/>
        <w:gridCol w:w="1154"/>
      </w:tblGrid>
      <w:tr w14:paraId="32141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14:paraId="5024DBA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5100" w:type="dxa"/>
            <w:noWrap w:val="0"/>
            <w:vAlign w:val="center"/>
          </w:tcPr>
          <w:p w14:paraId="56630A3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课程名</w:t>
            </w:r>
          </w:p>
        </w:tc>
        <w:tc>
          <w:tcPr>
            <w:tcW w:w="1154" w:type="dxa"/>
            <w:noWrap w:val="0"/>
            <w:vAlign w:val="center"/>
          </w:tcPr>
          <w:p w14:paraId="22148B2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学分数</w:t>
            </w:r>
          </w:p>
        </w:tc>
      </w:tr>
      <w:tr w14:paraId="78004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14:paraId="46C2FCF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5100" w:type="dxa"/>
            <w:noWrap w:val="0"/>
            <w:vAlign w:val="center"/>
          </w:tcPr>
          <w:p w14:paraId="46A1131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中国近现代史纲要</w:t>
            </w:r>
          </w:p>
        </w:tc>
        <w:tc>
          <w:tcPr>
            <w:tcW w:w="1154" w:type="dxa"/>
            <w:noWrap w:val="0"/>
            <w:vAlign w:val="center"/>
          </w:tcPr>
          <w:p w14:paraId="77DB57A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r>
      <w:tr w14:paraId="53797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14:paraId="426D910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5100" w:type="dxa"/>
            <w:noWrap w:val="0"/>
            <w:vAlign w:val="center"/>
          </w:tcPr>
          <w:p w14:paraId="6028805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思想道德与法治</w:t>
            </w:r>
          </w:p>
        </w:tc>
        <w:tc>
          <w:tcPr>
            <w:tcW w:w="1154" w:type="dxa"/>
            <w:noWrap w:val="0"/>
            <w:vAlign w:val="center"/>
          </w:tcPr>
          <w:p w14:paraId="5E7C369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r>
      <w:tr w14:paraId="1C6AF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14:paraId="2868909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5100" w:type="dxa"/>
            <w:noWrap w:val="0"/>
            <w:vAlign w:val="center"/>
          </w:tcPr>
          <w:p w14:paraId="0E786BA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马克思主义基本原理</w:t>
            </w:r>
          </w:p>
        </w:tc>
        <w:tc>
          <w:tcPr>
            <w:tcW w:w="1154" w:type="dxa"/>
            <w:noWrap w:val="0"/>
            <w:vAlign w:val="center"/>
          </w:tcPr>
          <w:p w14:paraId="1379B80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r>
      <w:tr w14:paraId="7BED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14:paraId="29DB038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5100" w:type="dxa"/>
            <w:noWrap w:val="0"/>
            <w:vAlign w:val="center"/>
          </w:tcPr>
          <w:p w14:paraId="2743986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毛泽东思想和中国特色社会主义理论体系概论</w:t>
            </w:r>
          </w:p>
        </w:tc>
        <w:tc>
          <w:tcPr>
            <w:tcW w:w="1154" w:type="dxa"/>
            <w:noWrap w:val="0"/>
            <w:vAlign w:val="center"/>
          </w:tcPr>
          <w:p w14:paraId="26748300">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val="en-US" w:eastAsia="zh-CN"/>
              </w:rPr>
              <w:t>3</w:t>
            </w:r>
          </w:p>
        </w:tc>
      </w:tr>
      <w:tr w14:paraId="53F63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14:paraId="10E3A31B">
            <w:pPr>
              <w:spacing w:line="36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5</w:t>
            </w:r>
          </w:p>
        </w:tc>
        <w:tc>
          <w:tcPr>
            <w:tcW w:w="5100" w:type="dxa"/>
            <w:noWrap w:val="0"/>
            <w:vAlign w:val="center"/>
          </w:tcPr>
          <w:p w14:paraId="3A635B7A">
            <w:pPr>
              <w:spacing w:line="360" w:lineRule="auto"/>
              <w:jc w:val="center"/>
              <w:rPr>
                <w:rFonts w:hint="eastAsia" w:ascii="宋体" w:hAnsi="宋体" w:eastAsia="宋体" w:cs="宋体"/>
                <w:sz w:val="24"/>
                <w:szCs w:val="24"/>
              </w:rPr>
            </w:pPr>
            <w:r>
              <w:rPr>
                <w:rFonts w:hint="eastAsia" w:ascii="宋体" w:hAnsi="宋体" w:cs="宋体"/>
                <w:color w:val="auto"/>
                <w:sz w:val="24"/>
                <w:szCs w:val="24"/>
                <w:lang w:val="en-US" w:eastAsia="zh-CN"/>
              </w:rPr>
              <w:t>习近平新时代中国特色社会主义思想概论</w:t>
            </w:r>
          </w:p>
        </w:tc>
        <w:tc>
          <w:tcPr>
            <w:tcW w:w="1154" w:type="dxa"/>
            <w:noWrap w:val="0"/>
            <w:vAlign w:val="center"/>
          </w:tcPr>
          <w:p w14:paraId="5D91625E">
            <w:pPr>
              <w:spacing w:line="36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3</w:t>
            </w:r>
          </w:p>
        </w:tc>
      </w:tr>
      <w:tr w14:paraId="6350E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14:paraId="2B5A9C6B">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p>
        </w:tc>
        <w:tc>
          <w:tcPr>
            <w:tcW w:w="5100" w:type="dxa"/>
            <w:noWrap w:val="0"/>
            <w:vAlign w:val="center"/>
          </w:tcPr>
          <w:p w14:paraId="16EE977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形势与政策</w:t>
            </w:r>
          </w:p>
        </w:tc>
        <w:tc>
          <w:tcPr>
            <w:tcW w:w="1154" w:type="dxa"/>
            <w:noWrap w:val="0"/>
            <w:vAlign w:val="center"/>
          </w:tcPr>
          <w:p w14:paraId="31C79C2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r>
    </w:tbl>
    <w:p w14:paraId="795D75ED">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（2）语言与工具类课程</w:t>
      </w:r>
    </w:p>
    <w:p w14:paraId="22DB8343">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语言与工具类必修课程包括大学英语和计算机类课程。</w:t>
      </w:r>
    </w:p>
    <w:p w14:paraId="5F521453">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非外语专业必须开设大学英语课程，大学英语实行分层教学，合计</w:t>
      </w:r>
      <w:r>
        <w:rPr>
          <w:rFonts w:hint="eastAsia" w:ascii="宋体" w:hAnsi="宋体" w:cs="宋体"/>
          <w:sz w:val="28"/>
          <w:szCs w:val="28"/>
          <w:lang w:val="en-US" w:eastAsia="zh-CN"/>
        </w:rPr>
        <w:t>10</w:t>
      </w:r>
      <w:r>
        <w:rPr>
          <w:rFonts w:hint="eastAsia" w:ascii="宋体" w:hAnsi="宋体" w:eastAsia="宋体" w:cs="宋体"/>
          <w:sz w:val="28"/>
          <w:szCs w:val="28"/>
        </w:rPr>
        <w:t>学分，具体教学方案由教务处协同外国语学院制定并组织实施。</w:t>
      </w:r>
    </w:p>
    <w:p w14:paraId="02398BD0">
      <w:pPr>
        <w:widowControl/>
        <w:spacing w:line="240" w:lineRule="auto"/>
        <w:jc w:val="both"/>
        <w:rPr>
          <w:rFonts w:hint="eastAsia" w:ascii="宋体" w:hAnsi="宋体" w:eastAsia="宋体" w:cs="宋体"/>
          <w:b/>
          <w:bCs/>
          <w:sz w:val="24"/>
          <w:highlight w:val="none"/>
        </w:rPr>
      </w:pPr>
    </w:p>
    <w:p w14:paraId="7058D365">
      <w:pPr>
        <w:widowControl/>
        <w:spacing w:line="240" w:lineRule="auto"/>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rPr>
        <w:t>表4</w:t>
      </w:r>
      <w:r>
        <w:rPr>
          <w:rFonts w:hint="eastAsia" w:ascii="宋体" w:hAnsi="宋体" w:eastAsia="宋体" w:cs="宋体"/>
          <w:b/>
          <w:bCs/>
          <w:sz w:val="24"/>
          <w:highlight w:val="none"/>
          <w:lang w:eastAsia="zh-CN"/>
        </w:rPr>
        <w:t>：</w:t>
      </w:r>
      <w:r>
        <w:rPr>
          <w:rFonts w:hint="eastAsia" w:ascii="宋体" w:hAnsi="宋体" w:eastAsia="宋体" w:cs="宋体"/>
          <w:b/>
          <w:bCs/>
          <w:sz w:val="24"/>
          <w:highlight w:val="none"/>
        </w:rPr>
        <w:t>大学英语类课程</w:t>
      </w:r>
    </w:p>
    <w:tbl>
      <w:tblPr>
        <w:tblStyle w:val="5"/>
        <w:tblpPr w:leftFromText="180" w:rightFromText="180" w:vertAnchor="text" w:horzAnchor="page" w:tblpX="2605" w:tblpY="4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4835"/>
        <w:gridCol w:w="1095"/>
      </w:tblGrid>
      <w:tr w14:paraId="7ACCF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 w:hRule="atLeast"/>
        </w:trPr>
        <w:tc>
          <w:tcPr>
            <w:tcW w:w="1008" w:type="dxa"/>
            <w:noWrap w:val="0"/>
            <w:vAlign w:val="center"/>
          </w:tcPr>
          <w:p w14:paraId="5F9C98FF">
            <w:pPr>
              <w:spacing w:line="120" w:lineRule="auto"/>
              <w:jc w:val="center"/>
              <w:rPr>
                <w:rFonts w:hint="eastAsia" w:ascii="宋体" w:hAnsi="宋体" w:eastAsia="宋体" w:cs="宋体"/>
                <w:sz w:val="24"/>
              </w:rPr>
            </w:pPr>
            <w:r>
              <w:rPr>
                <w:rFonts w:hint="eastAsia" w:ascii="宋体" w:hAnsi="宋体" w:eastAsia="宋体" w:cs="宋体"/>
                <w:sz w:val="24"/>
              </w:rPr>
              <w:t>序号</w:t>
            </w:r>
          </w:p>
        </w:tc>
        <w:tc>
          <w:tcPr>
            <w:tcW w:w="4835" w:type="dxa"/>
            <w:noWrap w:val="0"/>
            <w:vAlign w:val="center"/>
          </w:tcPr>
          <w:p w14:paraId="7E793F1D">
            <w:pPr>
              <w:spacing w:line="120" w:lineRule="auto"/>
              <w:jc w:val="center"/>
              <w:rPr>
                <w:rFonts w:hint="eastAsia" w:ascii="宋体" w:hAnsi="宋体" w:eastAsia="宋体" w:cs="宋体"/>
                <w:sz w:val="24"/>
              </w:rPr>
            </w:pPr>
            <w:r>
              <w:rPr>
                <w:rFonts w:hint="eastAsia" w:ascii="宋体" w:hAnsi="宋体" w:eastAsia="宋体" w:cs="宋体"/>
                <w:sz w:val="24"/>
              </w:rPr>
              <w:t>课程名</w:t>
            </w:r>
          </w:p>
        </w:tc>
        <w:tc>
          <w:tcPr>
            <w:tcW w:w="1095" w:type="dxa"/>
            <w:noWrap w:val="0"/>
            <w:vAlign w:val="center"/>
          </w:tcPr>
          <w:p w14:paraId="50212B72">
            <w:pPr>
              <w:spacing w:line="120" w:lineRule="auto"/>
              <w:jc w:val="center"/>
              <w:rPr>
                <w:rFonts w:hint="eastAsia" w:ascii="宋体" w:hAnsi="宋体" w:eastAsia="宋体" w:cs="宋体"/>
                <w:sz w:val="24"/>
              </w:rPr>
            </w:pPr>
            <w:r>
              <w:rPr>
                <w:rFonts w:hint="eastAsia" w:ascii="宋体" w:hAnsi="宋体" w:eastAsia="宋体" w:cs="宋体"/>
                <w:sz w:val="24"/>
              </w:rPr>
              <w:t>学分数</w:t>
            </w:r>
          </w:p>
        </w:tc>
      </w:tr>
      <w:tr w14:paraId="14933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008" w:type="dxa"/>
            <w:noWrap w:val="0"/>
            <w:vAlign w:val="center"/>
          </w:tcPr>
          <w:p w14:paraId="5662EC57">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4835" w:type="dxa"/>
            <w:noWrap w:val="0"/>
            <w:vAlign w:val="center"/>
          </w:tcPr>
          <w:p w14:paraId="78AD1495">
            <w:pPr>
              <w:spacing w:line="360" w:lineRule="auto"/>
              <w:jc w:val="center"/>
              <w:rPr>
                <w:rFonts w:hint="eastAsia" w:ascii="宋体" w:hAnsi="宋体" w:eastAsia="宋体" w:cs="宋体"/>
                <w:sz w:val="24"/>
              </w:rPr>
            </w:pPr>
            <w:r>
              <w:rPr>
                <w:rFonts w:hint="eastAsia" w:ascii="宋体" w:hAnsi="宋体" w:eastAsia="宋体" w:cs="宋体"/>
                <w:sz w:val="24"/>
              </w:rPr>
              <w:t>大学英语(1)、大学英语（2）</w:t>
            </w:r>
          </w:p>
        </w:tc>
        <w:tc>
          <w:tcPr>
            <w:tcW w:w="1095" w:type="dxa"/>
            <w:noWrap w:val="0"/>
            <w:vAlign w:val="center"/>
          </w:tcPr>
          <w:p w14:paraId="63023C55">
            <w:pPr>
              <w:spacing w:line="360" w:lineRule="auto"/>
              <w:jc w:val="center"/>
              <w:rPr>
                <w:rFonts w:hint="eastAsia" w:ascii="宋体" w:hAnsi="宋体" w:eastAsia="宋体" w:cs="宋体"/>
                <w:sz w:val="24"/>
              </w:rPr>
            </w:pPr>
            <w:r>
              <w:rPr>
                <w:rFonts w:hint="eastAsia" w:ascii="宋体" w:hAnsi="宋体" w:eastAsia="宋体" w:cs="宋体"/>
                <w:sz w:val="24"/>
              </w:rPr>
              <w:t>4、4</w:t>
            </w:r>
          </w:p>
        </w:tc>
      </w:tr>
      <w:tr w14:paraId="49AA0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008" w:type="dxa"/>
            <w:vMerge w:val="restart"/>
            <w:noWrap w:val="0"/>
            <w:vAlign w:val="center"/>
          </w:tcPr>
          <w:p w14:paraId="2D0C4E1A">
            <w:pPr>
              <w:spacing w:line="360" w:lineRule="auto"/>
              <w:jc w:val="center"/>
              <w:rPr>
                <w:rFonts w:hint="eastAsia" w:ascii="宋体" w:hAnsi="宋体" w:eastAsia="宋体" w:cs="宋体"/>
                <w:sz w:val="24"/>
              </w:rPr>
            </w:pPr>
            <w:r>
              <w:rPr>
                <w:rFonts w:hint="eastAsia" w:ascii="宋体" w:hAnsi="宋体" w:eastAsia="宋体" w:cs="宋体"/>
                <w:sz w:val="24"/>
              </w:rPr>
              <w:t>2</w:t>
            </w:r>
          </w:p>
        </w:tc>
        <w:tc>
          <w:tcPr>
            <w:tcW w:w="4835" w:type="dxa"/>
            <w:noWrap w:val="0"/>
            <w:vAlign w:val="center"/>
          </w:tcPr>
          <w:p w14:paraId="5256A1F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学术英语课程（学术英语阅读、写作）</w:t>
            </w:r>
          </w:p>
        </w:tc>
        <w:tc>
          <w:tcPr>
            <w:tcW w:w="1095" w:type="dxa"/>
            <w:vMerge w:val="restart"/>
            <w:noWrap w:val="0"/>
            <w:vAlign w:val="center"/>
          </w:tcPr>
          <w:p w14:paraId="12D80207">
            <w:pPr>
              <w:spacing w:line="360" w:lineRule="auto"/>
              <w:jc w:val="center"/>
              <w:rPr>
                <w:rFonts w:hint="eastAsia" w:ascii="宋体" w:hAnsi="宋体" w:eastAsia="宋体" w:cs="宋体"/>
                <w:sz w:val="24"/>
              </w:rPr>
            </w:pPr>
            <w:r>
              <w:rPr>
                <w:rFonts w:hint="eastAsia" w:ascii="宋体" w:hAnsi="宋体" w:eastAsia="宋体" w:cs="宋体"/>
                <w:sz w:val="24"/>
              </w:rPr>
              <w:t>2</w:t>
            </w:r>
          </w:p>
        </w:tc>
      </w:tr>
      <w:tr w14:paraId="396E7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008" w:type="dxa"/>
            <w:vMerge w:val="continue"/>
            <w:noWrap w:val="0"/>
            <w:vAlign w:val="center"/>
          </w:tcPr>
          <w:p w14:paraId="7E980F7B">
            <w:pPr>
              <w:spacing w:line="360" w:lineRule="auto"/>
              <w:jc w:val="center"/>
              <w:rPr>
                <w:rFonts w:hint="eastAsia" w:ascii="宋体" w:hAnsi="宋体" w:eastAsia="宋体" w:cs="宋体"/>
                <w:sz w:val="24"/>
              </w:rPr>
            </w:pPr>
          </w:p>
        </w:tc>
        <w:tc>
          <w:tcPr>
            <w:tcW w:w="4835" w:type="dxa"/>
            <w:noWrap w:val="0"/>
            <w:vAlign w:val="center"/>
          </w:tcPr>
          <w:p w14:paraId="51727283">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能源电力英语</w:t>
            </w:r>
          </w:p>
        </w:tc>
        <w:tc>
          <w:tcPr>
            <w:tcW w:w="1095" w:type="dxa"/>
            <w:vMerge w:val="continue"/>
            <w:noWrap w:val="0"/>
            <w:vAlign w:val="center"/>
          </w:tcPr>
          <w:p w14:paraId="64238639">
            <w:pPr>
              <w:spacing w:line="360" w:lineRule="auto"/>
              <w:jc w:val="center"/>
              <w:rPr>
                <w:rFonts w:hint="eastAsia" w:ascii="宋体" w:hAnsi="宋体" w:eastAsia="宋体" w:cs="宋体"/>
                <w:sz w:val="24"/>
              </w:rPr>
            </w:pPr>
          </w:p>
        </w:tc>
      </w:tr>
    </w:tbl>
    <w:p w14:paraId="51796567">
      <w:pPr>
        <w:widowControl/>
        <w:spacing w:line="360" w:lineRule="auto"/>
        <w:rPr>
          <w:rFonts w:hint="eastAsia" w:ascii="宋体" w:hAnsi="宋体" w:eastAsia="宋体" w:cs="宋体"/>
          <w:sz w:val="28"/>
          <w:szCs w:val="28"/>
        </w:rPr>
      </w:pPr>
    </w:p>
    <w:p w14:paraId="3E18C20C">
      <w:pPr>
        <w:widowControl/>
        <w:spacing w:line="360" w:lineRule="auto"/>
        <w:ind w:firstLine="560" w:firstLineChars="200"/>
        <w:rPr>
          <w:rFonts w:hint="eastAsia" w:ascii="宋体" w:hAnsi="宋体" w:eastAsia="宋体" w:cs="宋体"/>
          <w:sz w:val="28"/>
          <w:szCs w:val="28"/>
          <w:highlight w:val="none"/>
        </w:rPr>
      </w:pPr>
    </w:p>
    <w:p w14:paraId="6DC48FFD">
      <w:pPr>
        <w:widowControl/>
        <w:spacing w:line="360" w:lineRule="auto"/>
        <w:ind w:firstLine="560" w:firstLineChars="200"/>
        <w:rPr>
          <w:rFonts w:hint="eastAsia" w:ascii="宋体" w:hAnsi="宋体" w:eastAsia="宋体" w:cs="宋体"/>
          <w:sz w:val="28"/>
          <w:szCs w:val="28"/>
          <w:highlight w:val="none"/>
        </w:rPr>
      </w:pPr>
    </w:p>
    <w:p w14:paraId="46C598E2">
      <w:pPr>
        <w:widowControl/>
        <w:spacing w:line="360" w:lineRule="auto"/>
        <w:ind w:firstLine="560" w:firstLineChars="200"/>
        <w:rPr>
          <w:rFonts w:hint="eastAsia" w:ascii="宋体" w:hAnsi="宋体" w:eastAsia="宋体" w:cs="宋体"/>
          <w:sz w:val="28"/>
          <w:szCs w:val="28"/>
          <w:highlight w:val="none"/>
        </w:rPr>
      </w:pPr>
    </w:p>
    <w:p w14:paraId="6D7A030B">
      <w:pPr>
        <w:widowControl/>
        <w:spacing w:line="360" w:lineRule="auto"/>
        <w:ind w:firstLine="560" w:firstLineChars="200"/>
        <w:rPr>
          <w:rFonts w:hint="eastAsia" w:ascii="宋体" w:hAnsi="宋体" w:eastAsia="宋体" w:cs="宋体"/>
          <w:sz w:val="28"/>
          <w:szCs w:val="28"/>
          <w:highlight w:val="none"/>
        </w:rPr>
      </w:pPr>
    </w:p>
    <w:p w14:paraId="3F761D8A">
      <w:pPr>
        <w:widowControl/>
        <w:spacing w:line="360" w:lineRule="auto"/>
        <w:ind w:firstLine="560" w:firstLineChars="200"/>
        <w:rPr>
          <w:rFonts w:hint="eastAsia" w:ascii="宋体" w:hAnsi="宋体" w:eastAsia="宋体" w:cs="宋体"/>
          <w:b/>
          <w:sz w:val="24"/>
          <w:highlight w:val="none"/>
        </w:rPr>
      </w:pPr>
      <w:r>
        <w:rPr>
          <w:rFonts w:hint="eastAsia" w:ascii="宋体" w:hAnsi="宋体" w:eastAsia="宋体" w:cs="宋体"/>
          <w:sz w:val="28"/>
          <w:szCs w:val="28"/>
          <w:highlight w:val="none"/>
        </w:rPr>
        <w:t>计算机类课程</w:t>
      </w:r>
      <w:r>
        <w:rPr>
          <w:rFonts w:hint="eastAsia" w:ascii="宋体" w:hAnsi="宋体" w:cs="宋体"/>
          <w:sz w:val="28"/>
          <w:szCs w:val="28"/>
          <w:highlight w:val="none"/>
          <w:lang w:eastAsia="zh-CN"/>
        </w:rPr>
        <w:t>共计</w:t>
      </w:r>
      <w:r>
        <w:rPr>
          <w:rFonts w:hint="eastAsia" w:ascii="宋体" w:hAnsi="宋体" w:cs="宋体"/>
          <w:sz w:val="28"/>
          <w:szCs w:val="28"/>
          <w:highlight w:val="none"/>
          <w:lang w:val="en-US" w:eastAsia="zh-CN"/>
        </w:rPr>
        <w:t>3-4</w:t>
      </w:r>
      <w:r>
        <w:rPr>
          <w:rFonts w:hint="eastAsia" w:ascii="宋体" w:hAnsi="宋体" w:eastAsia="宋体" w:cs="宋体"/>
          <w:sz w:val="28"/>
          <w:szCs w:val="28"/>
          <w:highlight w:val="none"/>
        </w:rPr>
        <w:t>学分，</w:t>
      </w:r>
      <w:r>
        <w:rPr>
          <w:rFonts w:hint="eastAsia" w:ascii="宋体" w:hAnsi="宋体" w:cs="宋体"/>
          <w:sz w:val="28"/>
          <w:szCs w:val="28"/>
          <w:highlight w:val="none"/>
          <w:lang w:eastAsia="zh-CN"/>
        </w:rPr>
        <w:t>全校学生（</w:t>
      </w:r>
      <w:r>
        <w:rPr>
          <w:rFonts w:hint="eastAsia" w:ascii="宋体" w:hAnsi="宋体" w:cs="宋体"/>
          <w:sz w:val="28"/>
          <w:szCs w:val="28"/>
          <w:highlight w:val="none"/>
          <w:lang w:val="en-US" w:eastAsia="zh-CN"/>
        </w:rPr>
        <w:t>计算机科学与技术学院学生除外</w:t>
      </w:r>
      <w:r>
        <w:rPr>
          <w:rFonts w:hint="eastAsia" w:ascii="宋体" w:hAnsi="宋体" w:cs="宋体"/>
          <w:sz w:val="28"/>
          <w:szCs w:val="28"/>
          <w:highlight w:val="none"/>
          <w:lang w:eastAsia="zh-CN"/>
        </w:rPr>
        <w:t>）均需修读大学计算机基础课程（</w:t>
      </w:r>
      <w:r>
        <w:rPr>
          <w:rFonts w:hint="eastAsia" w:ascii="宋体" w:hAnsi="宋体" w:cs="宋体"/>
          <w:sz w:val="28"/>
          <w:szCs w:val="28"/>
          <w:highlight w:val="none"/>
          <w:lang w:val="en-US" w:eastAsia="zh-CN"/>
        </w:rPr>
        <w:t>0学分</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各个专业根据实际情况，从表5中选择1个作为本专业学生修读计划。</w:t>
      </w:r>
    </w:p>
    <w:p w14:paraId="66C90B18">
      <w:pPr>
        <w:widowControl/>
        <w:spacing w:line="360" w:lineRule="auto"/>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rPr>
        <w:t>表5</w:t>
      </w:r>
      <w:r>
        <w:rPr>
          <w:rFonts w:hint="eastAsia" w:ascii="宋体" w:hAnsi="宋体" w:eastAsia="宋体" w:cs="宋体"/>
          <w:b/>
          <w:color w:val="auto"/>
          <w:sz w:val="24"/>
          <w:highlight w:val="none"/>
          <w:lang w:eastAsia="zh-CN"/>
        </w:rPr>
        <w:t>：</w:t>
      </w:r>
      <w:r>
        <w:rPr>
          <w:rFonts w:hint="eastAsia" w:ascii="宋体" w:hAnsi="宋体" w:eastAsia="宋体" w:cs="宋体"/>
          <w:b/>
          <w:color w:val="auto"/>
          <w:sz w:val="24"/>
          <w:highlight w:val="none"/>
        </w:rPr>
        <w:t>计算机类课程</w:t>
      </w:r>
    </w:p>
    <w:tbl>
      <w:tblPr>
        <w:tblStyle w:val="5"/>
        <w:tblW w:w="4760" w:type="pct"/>
        <w:tblInd w:w="1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3545"/>
        <w:gridCol w:w="3868"/>
      </w:tblGrid>
      <w:tr w14:paraId="5C21E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14:paraId="50F39B67">
            <w:pPr>
              <w:spacing w:line="360" w:lineRule="auto"/>
              <w:jc w:val="center"/>
              <w:rPr>
                <w:rFonts w:hint="eastAsia" w:ascii="宋体" w:hAnsi="宋体" w:eastAsia="宋体" w:cs="宋体"/>
                <w:sz w:val="24"/>
                <w:highlight w:val="none"/>
                <w:lang w:eastAsia="zh-CN"/>
              </w:rPr>
            </w:pPr>
            <w:r>
              <w:rPr>
                <w:rFonts w:hint="eastAsia" w:ascii="宋体" w:hAnsi="宋体" w:cs="宋体"/>
                <w:sz w:val="24"/>
                <w:highlight w:val="none"/>
                <w:lang w:eastAsia="zh-CN"/>
              </w:rPr>
              <w:t>序号</w:t>
            </w:r>
          </w:p>
        </w:tc>
        <w:tc>
          <w:tcPr>
            <w:tcW w:w="2184" w:type="pct"/>
            <w:noWrap w:val="0"/>
            <w:vAlign w:val="center"/>
          </w:tcPr>
          <w:p w14:paraId="0425D9A9">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内容</w:t>
            </w:r>
          </w:p>
        </w:tc>
        <w:tc>
          <w:tcPr>
            <w:tcW w:w="2383" w:type="pct"/>
            <w:noWrap w:val="0"/>
            <w:vAlign w:val="center"/>
          </w:tcPr>
          <w:p w14:paraId="445F748E">
            <w:pPr>
              <w:spacing w:line="360" w:lineRule="auto"/>
              <w:jc w:val="center"/>
              <w:rPr>
                <w:rFonts w:hint="eastAsia" w:ascii="宋体" w:hAnsi="宋体" w:cs="宋体"/>
                <w:sz w:val="24"/>
                <w:highlight w:val="none"/>
                <w:lang w:eastAsia="zh-CN"/>
              </w:rPr>
            </w:pPr>
            <w:r>
              <w:rPr>
                <w:rFonts w:hint="eastAsia" w:ascii="宋体" w:hAnsi="宋体" w:cs="宋体"/>
                <w:sz w:val="24"/>
                <w:highlight w:val="none"/>
                <w:lang w:eastAsia="zh-CN"/>
              </w:rPr>
              <w:t>授课对象</w:t>
            </w:r>
          </w:p>
        </w:tc>
      </w:tr>
      <w:tr w14:paraId="5B137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14:paraId="5B8C8828">
            <w:pPr>
              <w:spacing w:line="360" w:lineRule="auto"/>
              <w:jc w:val="center"/>
              <w:rPr>
                <w:rFonts w:hint="eastAsia" w:ascii="宋体" w:hAnsi="宋体" w:eastAsia="宋体" w:cs="宋体"/>
                <w:sz w:val="24"/>
                <w:highlight w:val="none"/>
                <w:lang w:eastAsia="zh-CN"/>
              </w:rPr>
            </w:pPr>
            <w:r>
              <w:rPr>
                <w:rFonts w:hint="eastAsia" w:ascii="宋体" w:hAnsi="宋体" w:cs="宋体"/>
                <w:sz w:val="24"/>
                <w:highlight w:val="none"/>
                <w:lang w:val="en-US" w:eastAsia="zh-CN"/>
              </w:rPr>
              <w:t>1</w:t>
            </w:r>
          </w:p>
        </w:tc>
        <w:tc>
          <w:tcPr>
            <w:tcW w:w="2184" w:type="pct"/>
            <w:noWrap w:val="0"/>
            <w:vAlign w:val="center"/>
          </w:tcPr>
          <w:p w14:paraId="664BC108">
            <w:pPr>
              <w:spacing w:line="360" w:lineRule="auto"/>
              <w:jc w:val="center"/>
              <w:rPr>
                <w:rFonts w:hint="eastAsia" w:ascii="宋体" w:hAnsi="宋体" w:eastAsia="宋体" w:cs="宋体"/>
                <w:sz w:val="24"/>
                <w:highlight w:val="none"/>
              </w:rPr>
            </w:pPr>
            <w:r>
              <w:rPr>
                <w:rFonts w:hint="eastAsia" w:ascii="宋体" w:hAnsi="宋体" w:cs="宋体"/>
                <w:sz w:val="24"/>
                <w:highlight w:val="none"/>
                <w:lang w:val="en-US" w:eastAsia="zh-CN"/>
              </w:rPr>
              <w:t>C语言程序设计A（4学分）</w:t>
            </w:r>
          </w:p>
        </w:tc>
        <w:tc>
          <w:tcPr>
            <w:tcW w:w="2383" w:type="pct"/>
            <w:noWrap w:val="0"/>
            <w:vAlign w:val="center"/>
          </w:tcPr>
          <w:p w14:paraId="0C159AA8">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对程序设计要求较高的理工科专业</w:t>
            </w:r>
          </w:p>
        </w:tc>
      </w:tr>
      <w:tr w14:paraId="252EC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14:paraId="0185ED30">
            <w:pPr>
              <w:spacing w:line="360" w:lineRule="auto"/>
              <w:jc w:val="center"/>
              <w:rPr>
                <w:rFonts w:hint="default" w:ascii="宋体" w:hAnsi="宋体" w:cs="宋体"/>
                <w:sz w:val="24"/>
                <w:highlight w:val="none"/>
                <w:lang w:val="en-US" w:eastAsia="zh-CN"/>
              </w:rPr>
            </w:pPr>
            <w:r>
              <w:rPr>
                <w:rFonts w:hint="eastAsia" w:ascii="宋体" w:hAnsi="宋体" w:cs="宋体"/>
                <w:sz w:val="24"/>
                <w:highlight w:val="none"/>
                <w:lang w:val="en-US" w:eastAsia="zh-CN"/>
              </w:rPr>
              <w:t>2</w:t>
            </w:r>
          </w:p>
        </w:tc>
        <w:tc>
          <w:tcPr>
            <w:tcW w:w="2184" w:type="pct"/>
            <w:noWrap w:val="0"/>
            <w:vAlign w:val="center"/>
          </w:tcPr>
          <w:p w14:paraId="25CCAA23">
            <w:pPr>
              <w:spacing w:line="360" w:lineRule="auto"/>
              <w:jc w:val="center"/>
              <w:rPr>
                <w:rFonts w:hint="eastAsia" w:ascii="宋体" w:hAnsi="宋体" w:eastAsia="宋体" w:cs="宋体"/>
                <w:sz w:val="24"/>
                <w:highlight w:val="none"/>
              </w:rPr>
            </w:pPr>
            <w:r>
              <w:rPr>
                <w:rFonts w:hint="eastAsia" w:ascii="宋体" w:hAnsi="宋体" w:cs="宋体"/>
                <w:sz w:val="24"/>
                <w:highlight w:val="none"/>
                <w:lang w:val="en-US" w:eastAsia="zh-CN"/>
              </w:rPr>
              <w:t>C语言程序设计B（4学分）</w:t>
            </w:r>
          </w:p>
        </w:tc>
        <w:tc>
          <w:tcPr>
            <w:tcW w:w="2383" w:type="pct"/>
            <w:noWrap w:val="0"/>
            <w:vAlign w:val="center"/>
          </w:tcPr>
          <w:p w14:paraId="192B8F51">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部分理工科专业及信管专业</w:t>
            </w:r>
          </w:p>
        </w:tc>
      </w:tr>
      <w:tr w14:paraId="56D57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14:paraId="0C339FE9">
            <w:pPr>
              <w:spacing w:line="360" w:lineRule="auto"/>
              <w:jc w:val="center"/>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3</w:t>
            </w:r>
          </w:p>
        </w:tc>
        <w:tc>
          <w:tcPr>
            <w:tcW w:w="2184" w:type="pct"/>
            <w:noWrap w:val="0"/>
            <w:vAlign w:val="center"/>
          </w:tcPr>
          <w:p w14:paraId="09BFCA1A">
            <w:pPr>
              <w:spacing w:line="360" w:lineRule="auto"/>
              <w:jc w:val="center"/>
              <w:rPr>
                <w:rFonts w:hint="eastAsia" w:ascii="宋体" w:hAnsi="宋体" w:eastAsia="宋体" w:cs="宋体"/>
                <w:sz w:val="24"/>
                <w:highlight w:val="none"/>
                <w:lang w:eastAsia="zh-CN"/>
              </w:rPr>
            </w:pPr>
            <w:r>
              <w:rPr>
                <w:rFonts w:hint="eastAsia" w:ascii="宋体" w:hAnsi="宋体" w:eastAsia="宋体" w:cs="宋体"/>
                <w:sz w:val="24"/>
                <w:highlight w:val="none"/>
              </w:rPr>
              <w:t>Python语言程序设计</w:t>
            </w:r>
            <w:r>
              <w:rPr>
                <w:rFonts w:hint="eastAsia" w:ascii="宋体" w:hAnsi="宋体" w:cs="宋体"/>
                <w:sz w:val="24"/>
                <w:highlight w:val="none"/>
                <w:lang w:eastAsia="zh-CN"/>
              </w:rPr>
              <w:t>（</w:t>
            </w:r>
            <w:r>
              <w:rPr>
                <w:rFonts w:hint="eastAsia" w:ascii="宋体" w:hAnsi="宋体" w:cs="宋体"/>
                <w:sz w:val="24"/>
                <w:highlight w:val="none"/>
                <w:lang w:val="en-US" w:eastAsia="zh-CN"/>
              </w:rPr>
              <w:t>4学分</w:t>
            </w:r>
            <w:r>
              <w:rPr>
                <w:rFonts w:hint="eastAsia" w:ascii="宋体" w:hAnsi="宋体" w:cs="宋体"/>
                <w:sz w:val="24"/>
                <w:highlight w:val="none"/>
                <w:lang w:eastAsia="zh-CN"/>
              </w:rPr>
              <w:t>）</w:t>
            </w:r>
          </w:p>
        </w:tc>
        <w:tc>
          <w:tcPr>
            <w:tcW w:w="2383" w:type="pct"/>
            <w:noWrap w:val="0"/>
            <w:vAlign w:val="center"/>
          </w:tcPr>
          <w:p w14:paraId="25AAAA5D">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经管学院（除信管专业外）</w:t>
            </w:r>
          </w:p>
        </w:tc>
      </w:tr>
      <w:tr w14:paraId="5B542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14:paraId="652B60F9">
            <w:pPr>
              <w:spacing w:line="360" w:lineRule="auto"/>
              <w:jc w:val="center"/>
              <w:rPr>
                <w:rFonts w:hint="default" w:ascii="宋体" w:hAnsi="宋体" w:cs="宋体"/>
                <w:sz w:val="24"/>
                <w:highlight w:val="none"/>
                <w:lang w:val="en-US" w:eastAsia="zh-CN"/>
              </w:rPr>
            </w:pPr>
            <w:r>
              <w:rPr>
                <w:rFonts w:hint="eastAsia" w:ascii="宋体" w:hAnsi="宋体" w:cs="宋体"/>
                <w:sz w:val="24"/>
                <w:highlight w:val="none"/>
                <w:lang w:val="en-US" w:eastAsia="zh-CN"/>
              </w:rPr>
              <w:t>4</w:t>
            </w:r>
          </w:p>
        </w:tc>
        <w:tc>
          <w:tcPr>
            <w:tcW w:w="2184" w:type="pct"/>
            <w:noWrap w:val="0"/>
            <w:vAlign w:val="center"/>
          </w:tcPr>
          <w:p w14:paraId="428143C2">
            <w:pPr>
              <w:spacing w:line="360" w:lineRule="auto"/>
              <w:jc w:val="center"/>
              <w:rPr>
                <w:rFonts w:hint="default" w:ascii="宋体" w:hAnsi="宋体" w:eastAsia="宋体" w:cs="宋体"/>
                <w:sz w:val="24"/>
                <w:highlight w:val="none"/>
                <w:lang w:val="en-US" w:eastAsia="zh-CN"/>
              </w:rPr>
            </w:pPr>
            <w:r>
              <w:rPr>
                <w:rFonts w:hint="eastAsia" w:ascii="宋体" w:hAnsi="宋体" w:cs="宋体"/>
                <w:sz w:val="24"/>
                <w:highlight w:val="none"/>
                <w:lang w:eastAsia="zh-CN"/>
              </w:rPr>
              <w:t>信息技术</w:t>
            </w:r>
            <w:r>
              <w:rPr>
                <w:rFonts w:hint="eastAsia" w:ascii="宋体" w:hAnsi="宋体" w:eastAsia="宋体" w:cs="宋体"/>
                <w:sz w:val="24"/>
                <w:highlight w:val="none"/>
              </w:rPr>
              <w:t>与多媒体</w:t>
            </w:r>
            <w:r>
              <w:rPr>
                <w:rFonts w:hint="eastAsia" w:ascii="宋体" w:hAnsi="宋体" w:cs="宋体"/>
                <w:sz w:val="24"/>
                <w:highlight w:val="none"/>
                <w:lang w:eastAsia="zh-CN"/>
              </w:rPr>
              <w:t>应用（</w:t>
            </w:r>
            <w:r>
              <w:rPr>
                <w:rFonts w:hint="eastAsia" w:ascii="宋体" w:hAnsi="宋体" w:cs="宋体"/>
                <w:sz w:val="24"/>
                <w:highlight w:val="none"/>
                <w:lang w:val="en-US" w:eastAsia="zh-CN"/>
              </w:rPr>
              <w:t>3学分</w:t>
            </w:r>
            <w:r>
              <w:rPr>
                <w:rFonts w:hint="eastAsia" w:ascii="宋体" w:hAnsi="宋体" w:cs="宋体"/>
                <w:sz w:val="24"/>
                <w:highlight w:val="none"/>
                <w:lang w:eastAsia="zh-CN"/>
              </w:rPr>
              <w:t>）</w:t>
            </w:r>
          </w:p>
        </w:tc>
        <w:tc>
          <w:tcPr>
            <w:tcW w:w="2383" w:type="pct"/>
            <w:noWrap w:val="0"/>
            <w:vAlign w:val="center"/>
          </w:tcPr>
          <w:p w14:paraId="66D4E66E">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外语学院</w:t>
            </w:r>
          </w:p>
        </w:tc>
      </w:tr>
    </w:tbl>
    <w:p w14:paraId="75F3773C">
      <w:pPr>
        <w:widowControl/>
        <w:spacing w:line="360" w:lineRule="auto"/>
        <w:ind w:firstLine="560" w:firstLineChars="200"/>
        <w:rPr>
          <w:rFonts w:hint="eastAsia" w:ascii="宋体" w:hAnsi="宋体" w:eastAsia="宋体" w:cs="宋体"/>
          <w:sz w:val="28"/>
          <w:szCs w:val="28"/>
        </w:rPr>
      </w:pPr>
    </w:p>
    <w:p w14:paraId="35F26888">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（3）综合素养类课程</w:t>
      </w:r>
    </w:p>
    <w:p w14:paraId="10C67FD2">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综合素养类课程主要包括大学生入学教育与生涯规划、军事理论、大学体育、大学生心理健康四个部分构成。其中，大学生安全教育的内容纳入大学生入学教育与生涯规划课程进行，体育课程逐步实施分类教学，学生参与体育竞赛活动等纳入课程成绩考核，具体教学方案由教务处协同体育</w:t>
      </w:r>
      <w:r>
        <w:rPr>
          <w:rFonts w:hint="eastAsia" w:ascii="宋体" w:hAnsi="宋体" w:eastAsia="宋体" w:cs="宋体"/>
          <w:sz w:val="28"/>
          <w:szCs w:val="28"/>
          <w:lang w:eastAsia="zh-CN"/>
        </w:rPr>
        <w:t>学院</w:t>
      </w:r>
      <w:r>
        <w:rPr>
          <w:rFonts w:hint="eastAsia" w:ascii="宋体" w:hAnsi="宋体" w:eastAsia="宋体" w:cs="宋体"/>
          <w:sz w:val="28"/>
          <w:szCs w:val="28"/>
        </w:rPr>
        <w:t>制定。</w:t>
      </w:r>
    </w:p>
    <w:p w14:paraId="784495A8">
      <w:pPr>
        <w:widowControl/>
        <w:spacing w:line="360" w:lineRule="auto"/>
        <w:jc w:val="center"/>
        <w:rPr>
          <w:rFonts w:hint="eastAsia" w:ascii="宋体" w:hAnsi="宋体" w:eastAsia="宋体" w:cs="宋体"/>
          <w:b/>
          <w:sz w:val="24"/>
        </w:rPr>
      </w:pPr>
      <w:r>
        <w:rPr>
          <w:rFonts w:hint="eastAsia" w:ascii="宋体" w:hAnsi="宋体" w:eastAsia="宋体" w:cs="宋体"/>
          <w:b/>
          <w:sz w:val="24"/>
        </w:rPr>
        <w:t>表6：综合素养类课程</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7"/>
        <w:gridCol w:w="5066"/>
        <w:gridCol w:w="2317"/>
      </w:tblGrid>
      <w:tr w14:paraId="203B0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14:paraId="63F2640E">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2972" w:type="pct"/>
            <w:noWrap w:val="0"/>
            <w:vAlign w:val="center"/>
          </w:tcPr>
          <w:p w14:paraId="456F42E4">
            <w:pPr>
              <w:spacing w:line="360" w:lineRule="auto"/>
              <w:jc w:val="center"/>
              <w:rPr>
                <w:rFonts w:hint="eastAsia" w:ascii="宋体" w:hAnsi="宋体" w:eastAsia="宋体" w:cs="宋体"/>
                <w:sz w:val="24"/>
              </w:rPr>
            </w:pPr>
            <w:r>
              <w:rPr>
                <w:rFonts w:hint="eastAsia" w:ascii="宋体" w:hAnsi="宋体" w:eastAsia="宋体" w:cs="宋体"/>
                <w:sz w:val="24"/>
              </w:rPr>
              <w:t>课程名</w:t>
            </w:r>
          </w:p>
        </w:tc>
        <w:tc>
          <w:tcPr>
            <w:tcW w:w="1359" w:type="pct"/>
            <w:noWrap w:val="0"/>
            <w:vAlign w:val="center"/>
          </w:tcPr>
          <w:p w14:paraId="0DE7F1A2">
            <w:pPr>
              <w:spacing w:line="360" w:lineRule="auto"/>
              <w:jc w:val="center"/>
              <w:rPr>
                <w:rFonts w:hint="eastAsia" w:ascii="宋体" w:hAnsi="宋体" w:eastAsia="宋体" w:cs="宋体"/>
                <w:sz w:val="24"/>
              </w:rPr>
            </w:pPr>
            <w:r>
              <w:rPr>
                <w:rFonts w:hint="eastAsia" w:ascii="宋体" w:hAnsi="宋体" w:eastAsia="宋体" w:cs="宋体"/>
                <w:sz w:val="24"/>
              </w:rPr>
              <w:t>学分数</w:t>
            </w:r>
          </w:p>
        </w:tc>
      </w:tr>
      <w:tr w14:paraId="53A1A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14:paraId="310B74B8">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972" w:type="pct"/>
            <w:noWrap w:val="0"/>
            <w:vAlign w:val="center"/>
          </w:tcPr>
          <w:p w14:paraId="5A623A90">
            <w:pPr>
              <w:spacing w:line="360" w:lineRule="auto"/>
              <w:jc w:val="center"/>
              <w:rPr>
                <w:rFonts w:hint="eastAsia" w:ascii="宋体" w:hAnsi="宋体" w:eastAsia="宋体" w:cs="宋体"/>
                <w:sz w:val="24"/>
              </w:rPr>
            </w:pPr>
            <w:r>
              <w:rPr>
                <w:rFonts w:hint="eastAsia" w:ascii="宋体" w:hAnsi="宋体" w:eastAsia="宋体" w:cs="宋体"/>
                <w:sz w:val="24"/>
              </w:rPr>
              <w:t>大学生入学教育与生涯规划</w:t>
            </w:r>
          </w:p>
        </w:tc>
        <w:tc>
          <w:tcPr>
            <w:tcW w:w="1359" w:type="pct"/>
            <w:noWrap w:val="0"/>
            <w:vAlign w:val="center"/>
          </w:tcPr>
          <w:p w14:paraId="0F1D996E">
            <w:pPr>
              <w:spacing w:line="360" w:lineRule="auto"/>
              <w:jc w:val="center"/>
              <w:rPr>
                <w:rFonts w:hint="eastAsia" w:ascii="宋体" w:hAnsi="宋体" w:eastAsia="宋体" w:cs="宋体"/>
                <w:sz w:val="24"/>
              </w:rPr>
            </w:pPr>
            <w:r>
              <w:rPr>
                <w:rFonts w:hint="eastAsia" w:ascii="宋体" w:hAnsi="宋体" w:eastAsia="宋体" w:cs="宋体"/>
                <w:sz w:val="24"/>
              </w:rPr>
              <w:t>1</w:t>
            </w:r>
          </w:p>
        </w:tc>
      </w:tr>
      <w:tr w14:paraId="05DDD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14:paraId="1CC0414B">
            <w:pPr>
              <w:spacing w:line="360" w:lineRule="auto"/>
              <w:jc w:val="center"/>
              <w:rPr>
                <w:rFonts w:hint="eastAsia" w:ascii="宋体" w:hAnsi="宋体" w:eastAsia="宋体" w:cs="宋体"/>
                <w:sz w:val="24"/>
              </w:rPr>
            </w:pPr>
            <w:r>
              <w:rPr>
                <w:rFonts w:hint="eastAsia" w:ascii="宋体" w:hAnsi="宋体" w:eastAsia="宋体" w:cs="宋体"/>
                <w:sz w:val="24"/>
              </w:rPr>
              <w:t>2</w:t>
            </w:r>
          </w:p>
        </w:tc>
        <w:tc>
          <w:tcPr>
            <w:tcW w:w="2972" w:type="pct"/>
            <w:noWrap w:val="0"/>
            <w:vAlign w:val="center"/>
          </w:tcPr>
          <w:p w14:paraId="72278432">
            <w:pPr>
              <w:spacing w:line="360" w:lineRule="auto"/>
              <w:jc w:val="center"/>
              <w:rPr>
                <w:rFonts w:hint="eastAsia" w:ascii="宋体" w:hAnsi="宋体" w:eastAsia="宋体" w:cs="宋体"/>
                <w:sz w:val="24"/>
              </w:rPr>
            </w:pPr>
            <w:r>
              <w:rPr>
                <w:rFonts w:hint="eastAsia" w:ascii="宋体" w:hAnsi="宋体" w:eastAsia="宋体" w:cs="宋体"/>
                <w:sz w:val="24"/>
              </w:rPr>
              <w:t>军事理论</w:t>
            </w:r>
          </w:p>
        </w:tc>
        <w:tc>
          <w:tcPr>
            <w:tcW w:w="1359" w:type="pct"/>
            <w:noWrap w:val="0"/>
            <w:vAlign w:val="center"/>
          </w:tcPr>
          <w:p w14:paraId="76153233">
            <w:pPr>
              <w:spacing w:line="360" w:lineRule="auto"/>
              <w:jc w:val="center"/>
              <w:rPr>
                <w:rFonts w:hint="eastAsia" w:ascii="宋体" w:hAnsi="宋体" w:eastAsia="宋体" w:cs="宋体"/>
                <w:sz w:val="24"/>
              </w:rPr>
            </w:pPr>
            <w:r>
              <w:rPr>
                <w:rFonts w:hint="eastAsia" w:ascii="宋体" w:hAnsi="宋体" w:eastAsia="宋体" w:cs="宋体"/>
                <w:sz w:val="24"/>
              </w:rPr>
              <w:t>2</w:t>
            </w:r>
          </w:p>
        </w:tc>
      </w:tr>
      <w:tr w14:paraId="0D02F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14:paraId="49C43F0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2972" w:type="pct"/>
            <w:noWrap w:val="0"/>
            <w:vAlign w:val="top"/>
          </w:tcPr>
          <w:p w14:paraId="4A37291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大学体育课程</w:t>
            </w:r>
          </w:p>
        </w:tc>
        <w:tc>
          <w:tcPr>
            <w:tcW w:w="1359" w:type="pct"/>
            <w:noWrap w:val="0"/>
            <w:vAlign w:val="center"/>
          </w:tcPr>
          <w:p w14:paraId="0E86D364">
            <w:pPr>
              <w:spacing w:line="360" w:lineRule="auto"/>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rPr>
              <w:t>、</w:t>
            </w:r>
            <w:r>
              <w:rPr>
                <w:rFonts w:hint="eastAsia" w:ascii="宋体" w:hAnsi="宋体" w:cs="宋体"/>
                <w:color w:val="auto"/>
                <w:sz w:val="24"/>
                <w:highlight w:val="none"/>
                <w:lang w:val="en-US" w:eastAsia="zh-CN"/>
              </w:rPr>
              <w:t>1、1、1</w:t>
            </w:r>
          </w:p>
        </w:tc>
      </w:tr>
      <w:tr w14:paraId="20C28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14:paraId="49973AE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2972" w:type="pct"/>
            <w:noWrap w:val="0"/>
            <w:vAlign w:val="top"/>
          </w:tcPr>
          <w:p w14:paraId="20CC294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大学生心理健康</w:t>
            </w:r>
          </w:p>
        </w:tc>
        <w:tc>
          <w:tcPr>
            <w:tcW w:w="1359" w:type="pct"/>
            <w:noWrap w:val="0"/>
            <w:vAlign w:val="center"/>
          </w:tcPr>
          <w:p w14:paraId="4D35EC0A">
            <w:pPr>
              <w:spacing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2</w:t>
            </w:r>
          </w:p>
        </w:tc>
      </w:tr>
    </w:tbl>
    <w:p w14:paraId="6E7692AD">
      <w:pPr>
        <w:widowControl/>
        <w:spacing w:line="360" w:lineRule="auto"/>
        <w:rPr>
          <w:rFonts w:hint="eastAsia" w:ascii="宋体" w:hAnsi="宋体" w:eastAsia="宋体" w:cs="宋体"/>
          <w:sz w:val="28"/>
          <w:szCs w:val="28"/>
        </w:rPr>
      </w:pPr>
    </w:p>
    <w:p w14:paraId="154E00E5">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（4）创新创业与就业指导类</w:t>
      </w:r>
    </w:p>
    <w:p w14:paraId="7EFDBEAE">
      <w:pPr>
        <w:widowControl/>
        <w:spacing w:line="360" w:lineRule="auto"/>
        <w:ind w:firstLine="560" w:firstLineChars="200"/>
        <w:rPr>
          <w:rFonts w:hint="eastAsia" w:ascii="宋体" w:hAnsi="宋体" w:eastAsia="宋体" w:cs="宋体"/>
          <w:sz w:val="24"/>
        </w:rPr>
      </w:pPr>
      <w:r>
        <w:rPr>
          <w:rFonts w:hint="eastAsia" w:ascii="宋体" w:hAnsi="宋体" w:eastAsia="宋体" w:cs="宋体"/>
          <w:sz w:val="28"/>
          <w:szCs w:val="28"/>
        </w:rPr>
        <w:t>创新创业与就业指导类课程包括创新创业基础、大学生就业与创业实务。</w:t>
      </w:r>
    </w:p>
    <w:p w14:paraId="0F5F6233">
      <w:pPr>
        <w:widowControl/>
        <w:spacing w:line="360" w:lineRule="auto"/>
        <w:ind w:firstLine="482" w:firstLineChars="200"/>
        <w:jc w:val="center"/>
        <w:rPr>
          <w:rFonts w:hint="eastAsia" w:ascii="宋体" w:hAnsi="宋体" w:eastAsia="宋体" w:cs="宋体"/>
          <w:b/>
          <w:sz w:val="24"/>
        </w:rPr>
      </w:pPr>
      <w:r>
        <w:rPr>
          <w:rFonts w:hint="eastAsia" w:ascii="宋体" w:hAnsi="宋体" w:eastAsia="宋体" w:cs="宋体"/>
          <w:b/>
          <w:sz w:val="24"/>
        </w:rPr>
        <w:t>表7：创新创业与就业指导类课程</w:t>
      </w:r>
    </w:p>
    <w:tbl>
      <w:tblPr>
        <w:tblStyle w:val="5"/>
        <w:tblW w:w="0" w:type="auto"/>
        <w:tblInd w:w="1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4500"/>
        <w:gridCol w:w="1260"/>
      </w:tblGrid>
      <w:tr w14:paraId="4A036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20" w:type="dxa"/>
            <w:noWrap w:val="0"/>
            <w:vAlign w:val="center"/>
          </w:tcPr>
          <w:p w14:paraId="4A22607D">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序号</w:t>
            </w:r>
          </w:p>
        </w:tc>
        <w:tc>
          <w:tcPr>
            <w:tcW w:w="4500" w:type="dxa"/>
            <w:noWrap w:val="0"/>
            <w:vAlign w:val="center"/>
          </w:tcPr>
          <w:p w14:paraId="041E50E7">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课程名</w:t>
            </w:r>
          </w:p>
        </w:tc>
        <w:tc>
          <w:tcPr>
            <w:tcW w:w="1260" w:type="dxa"/>
            <w:noWrap w:val="0"/>
            <w:vAlign w:val="center"/>
          </w:tcPr>
          <w:p w14:paraId="5E897975">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学分数</w:t>
            </w:r>
          </w:p>
        </w:tc>
      </w:tr>
      <w:tr w14:paraId="04915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20" w:type="dxa"/>
            <w:noWrap w:val="0"/>
            <w:vAlign w:val="center"/>
          </w:tcPr>
          <w:p w14:paraId="36DD4025">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4500" w:type="dxa"/>
            <w:noWrap w:val="0"/>
            <w:vAlign w:val="top"/>
          </w:tcPr>
          <w:p w14:paraId="41FF2675">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创新创业基础</w:t>
            </w:r>
          </w:p>
        </w:tc>
        <w:tc>
          <w:tcPr>
            <w:tcW w:w="1260" w:type="dxa"/>
            <w:noWrap w:val="0"/>
            <w:vAlign w:val="center"/>
          </w:tcPr>
          <w:p w14:paraId="45A391F6">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r>
      <w:tr w14:paraId="77CD0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20" w:type="dxa"/>
            <w:noWrap w:val="0"/>
            <w:vAlign w:val="center"/>
          </w:tcPr>
          <w:p w14:paraId="5D7BD4D6">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4500" w:type="dxa"/>
            <w:noWrap w:val="0"/>
            <w:vAlign w:val="top"/>
          </w:tcPr>
          <w:p w14:paraId="40552E57">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大学生就业与创业实务</w:t>
            </w:r>
          </w:p>
        </w:tc>
        <w:tc>
          <w:tcPr>
            <w:tcW w:w="1260" w:type="dxa"/>
            <w:noWrap w:val="0"/>
            <w:vAlign w:val="center"/>
          </w:tcPr>
          <w:p w14:paraId="563A5B79">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0.5</w:t>
            </w:r>
          </w:p>
        </w:tc>
      </w:tr>
    </w:tbl>
    <w:p w14:paraId="4E297914">
      <w:pPr>
        <w:widowControl/>
        <w:spacing w:line="360" w:lineRule="auto"/>
        <w:ind w:firstLine="480" w:firstLineChars="200"/>
        <w:rPr>
          <w:rFonts w:hint="eastAsia" w:ascii="宋体" w:hAnsi="宋体" w:eastAsia="宋体" w:cs="宋体"/>
          <w:sz w:val="24"/>
        </w:rPr>
      </w:pPr>
    </w:p>
    <w:p w14:paraId="3764CFEE">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（5）能源电力特色类课程</w:t>
      </w:r>
    </w:p>
    <w:p w14:paraId="5E20C282">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能源电力特色类课程包括能源电力概论系列课程、能源中国、丝路之光等（学生可</w:t>
      </w:r>
      <w:r>
        <w:rPr>
          <w:rFonts w:hint="eastAsia" w:ascii="宋体" w:hAnsi="宋体" w:cs="宋体"/>
          <w:sz w:val="28"/>
          <w:szCs w:val="28"/>
          <w:lang w:eastAsia="zh-CN"/>
        </w:rPr>
        <w:t>选</w:t>
      </w:r>
      <w:r>
        <w:rPr>
          <w:rFonts w:hint="eastAsia" w:ascii="宋体" w:hAnsi="宋体" w:eastAsia="宋体" w:cs="宋体"/>
          <w:sz w:val="28"/>
          <w:szCs w:val="28"/>
        </w:rPr>
        <w:t>择其中一门进行修读），共计1学分。由开课部门统一制定教学大纲，授课时间安排在第一或第二学期。</w:t>
      </w:r>
    </w:p>
    <w:p w14:paraId="2E240DB5">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2.通识选修课程</w:t>
      </w:r>
    </w:p>
    <w:p w14:paraId="1661EF11">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学校组织开设人文社科类</w:t>
      </w:r>
      <w:r>
        <w:rPr>
          <w:rFonts w:hint="eastAsia" w:ascii="宋体" w:hAnsi="宋体" w:eastAsia="宋体" w:cs="宋体"/>
          <w:sz w:val="28"/>
          <w:szCs w:val="28"/>
          <w:highlight w:val="none"/>
        </w:rPr>
        <w:t>、</w:t>
      </w:r>
      <w:r>
        <w:rPr>
          <w:rFonts w:hint="eastAsia" w:ascii="宋体" w:hAnsi="宋体" w:cs="宋体"/>
          <w:sz w:val="28"/>
          <w:szCs w:val="28"/>
          <w:highlight w:val="none"/>
          <w:lang w:eastAsia="zh-CN"/>
        </w:rPr>
        <w:t>思政教育类、</w:t>
      </w:r>
      <w:r>
        <w:rPr>
          <w:rFonts w:hint="eastAsia" w:ascii="宋体" w:hAnsi="宋体" w:eastAsia="宋体" w:cs="宋体"/>
          <w:sz w:val="28"/>
          <w:szCs w:val="28"/>
          <w:highlight w:val="none"/>
        </w:rPr>
        <w:t>艺术</w:t>
      </w:r>
      <w:r>
        <w:rPr>
          <w:rFonts w:hint="eastAsia" w:ascii="宋体" w:hAnsi="宋体" w:eastAsia="宋体" w:cs="宋体"/>
          <w:sz w:val="28"/>
          <w:szCs w:val="28"/>
        </w:rPr>
        <w:t>审美类、自然科学类、</w:t>
      </w:r>
      <w:r>
        <w:rPr>
          <w:rFonts w:hint="eastAsia" w:ascii="宋体" w:hAnsi="宋体" w:cs="宋体"/>
          <w:sz w:val="28"/>
          <w:szCs w:val="28"/>
          <w:lang w:eastAsia="zh-CN"/>
        </w:rPr>
        <w:t>外语</w:t>
      </w:r>
      <w:r>
        <w:rPr>
          <w:rFonts w:hint="eastAsia" w:ascii="宋体" w:hAnsi="宋体" w:eastAsia="宋体" w:cs="宋体"/>
          <w:sz w:val="28"/>
          <w:szCs w:val="28"/>
        </w:rPr>
        <w:t>拓展类等选修课程，供学生自主选修。其中，</w:t>
      </w:r>
      <w:r>
        <w:rPr>
          <w:rFonts w:hint="eastAsia" w:ascii="宋体" w:hAnsi="宋体" w:eastAsia="宋体" w:cs="宋体"/>
          <w:sz w:val="28"/>
          <w:szCs w:val="28"/>
          <w:highlight w:val="none"/>
        </w:rPr>
        <w:t>学生</w:t>
      </w:r>
      <w:r>
        <w:rPr>
          <w:rFonts w:hint="eastAsia" w:ascii="宋体" w:hAnsi="宋体" w:cs="宋体"/>
          <w:sz w:val="28"/>
          <w:szCs w:val="28"/>
          <w:highlight w:val="none"/>
          <w:lang w:val="en-US" w:eastAsia="zh-CN"/>
        </w:rPr>
        <w:t>选</w:t>
      </w:r>
      <w:r>
        <w:rPr>
          <w:rFonts w:hint="eastAsia" w:ascii="宋体" w:hAnsi="宋体" w:cs="宋体"/>
          <w:sz w:val="28"/>
          <w:szCs w:val="28"/>
          <w:lang w:val="en-US" w:eastAsia="zh-CN"/>
        </w:rPr>
        <w:t>修</w:t>
      </w:r>
      <w:r>
        <w:rPr>
          <w:rFonts w:hint="eastAsia" w:ascii="宋体" w:hAnsi="宋体" w:eastAsia="宋体" w:cs="宋体"/>
          <w:sz w:val="28"/>
          <w:szCs w:val="28"/>
        </w:rPr>
        <w:t>艺术审美类课程不少于2学分，</w:t>
      </w:r>
      <w:r>
        <w:rPr>
          <w:rFonts w:hint="eastAsia" w:ascii="宋体" w:hAnsi="宋体" w:eastAsia="宋体" w:cs="宋体"/>
          <w:sz w:val="28"/>
          <w:szCs w:val="28"/>
          <w:highlight w:val="none"/>
        </w:rPr>
        <w:t>学生参加艺术</w:t>
      </w:r>
      <w:r>
        <w:rPr>
          <w:rFonts w:hint="eastAsia" w:ascii="宋体" w:hAnsi="宋体" w:cs="宋体"/>
          <w:sz w:val="28"/>
          <w:szCs w:val="28"/>
          <w:highlight w:val="none"/>
          <w:lang w:eastAsia="zh-CN"/>
        </w:rPr>
        <w:t>实践团训课程</w:t>
      </w:r>
      <w:r>
        <w:rPr>
          <w:rFonts w:hint="eastAsia" w:ascii="宋体" w:hAnsi="宋体" w:eastAsia="宋体" w:cs="宋体"/>
          <w:sz w:val="28"/>
          <w:szCs w:val="28"/>
          <w:highlight w:val="none"/>
        </w:rPr>
        <w:t>，取得校级以上艺术成果</w:t>
      </w:r>
      <w:r>
        <w:rPr>
          <w:rFonts w:hint="eastAsia" w:ascii="宋体" w:hAnsi="宋体" w:cs="宋体"/>
          <w:sz w:val="28"/>
          <w:szCs w:val="28"/>
          <w:highlight w:val="none"/>
          <w:lang w:eastAsia="zh-CN"/>
        </w:rPr>
        <w:t>方</w:t>
      </w:r>
      <w:r>
        <w:rPr>
          <w:rFonts w:hint="eastAsia" w:ascii="宋体" w:hAnsi="宋体" w:eastAsia="宋体" w:cs="宋体"/>
          <w:sz w:val="28"/>
          <w:szCs w:val="28"/>
          <w:highlight w:val="none"/>
        </w:rPr>
        <w:t>可</w:t>
      </w:r>
      <w:r>
        <w:rPr>
          <w:rFonts w:hint="eastAsia" w:ascii="宋体" w:hAnsi="宋体" w:cs="宋体"/>
          <w:sz w:val="28"/>
          <w:szCs w:val="28"/>
          <w:highlight w:val="none"/>
          <w:lang w:eastAsia="zh-CN"/>
        </w:rPr>
        <w:t>抵充</w:t>
      </w:r>
      <w:r>
        <w:rPr>
          <w:rFonts w:hint="eastAsia" w:ascii="宋体" w:hAnsi="宋体" w:eastAsia="宋体" w:cs="宋体"/>
          <w:sz w:val="28"/>
          <w:szCs w:val="28"/>
          <w:highlight w:val="none"/>
        </w:rPr>
        <w:t>艺术审美类课程学分，学分</w:t>
      </w:r>
      <w:r>
        <w:rPr>
          <w:rFonts w:hint="eastAsia" w:ascii="宋体" w:hAnsi="宋体" w:cs="宋体"/>
          <w:sz w:val="28"/>
          <w:szCs w:val="28"/>
          <w:highlight w:val="none"/>
          <w:lang w:eastAsia="zh-CN"/>
        </w:rPr>
        <w:t>抵充</w:t>
      </w:r>
      <w:r>
        <w:rPr>
          <w:rFonts w:hint="eastAsia" w:ascii="宋体" w:hAnsi="宋体" w:eastAsia="宋体" w:cs="宋体"/>
          <w:sz w:val="28"/>
          <w:szCs w:val="28"/>
          <w:highlight w:val="none"/>
        </w:rPr>
        <w:t>工作由人文艺术学院组织实施。</w:t>
      </w:r>
      <w:r>
        <w:rPr>
          <w:rFonts w:hint="eastAsia" w:ascii="宋体" w:hAnsi="宋体" w:eastAsia="宋体" w:cs="宋体"/>
          <w:sz w:val="28"/>
          <w:szCs w:val="28"/>
        </w:rPr>
        <w:t>工、理类专业选修人文社科类不少于2学分；经、管、文类专业选修自然科学类课程不少于2学分。</w:t>
      </w:r>
    </w:p>
    <w:p w14:paraId="02159CB7">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（二）学科基础课程</w:t>
      </w:r>
    </w:p>
    <w:p w14:paraId="33409C8A">
      <w:pPr>
        <w:widowControl/>
        <w:ind w:firstLine="560" w:firstLineChars="200"/>
        <w:jc w:val="left"/>
        <w:rPr>
          <w:rFonts w:hint="eastAsia" w:ascii="宋体" w:hAnsi="宋体" w:cs="宋体"/>
          <w:sz w:val="28"/>
          <w:szCs w:val="28"/>
          <w:highlight w:val="none"/>
          <w:lang w:eastAsia="zh-CN"/>
        </w:rPr>
      </w:pPr>
      <w:r>
        <w:rPr>
          <w:rFonts w:hint="eastAsia" w:ascii="宋体" w:hAnsi="宋体" w:eastAsia="宋体" w:cs="宋体"/>
          <w:sz w:val="28"/>
          <w:szCs w:val="28"/>
        </w:rPr>
        <w:t>学科基础课程旨在培养学生掌握较为扎实的学科基础知识、理论和技能，包含公共基础课程和专业基础课程。</w:t>
      </w:r>
      <w:r>
        <w:rPr>
          <w:rFonts w:hint="eastAsia" w:ascii="宋体" w:hAnsi="宋体" w:eastAsia="宋体" w:cs="宋体"/>
          <w:sz w:val="28"/>
          <w:szCs w:val="28"/>
          <w:highlight w:val="none"/>
        </w:rPr>
        <w:t>该类课程应该是</w:t>
      </w:r>
      <w:r>
        <w:rPr>
          <w:rFonts w:hint="eastAsia" w:ascii="宋体" w:hAnsi="宋体" w:cs="宋体"/>
          <w:sz w:val="28"/>
          <w:szCs w:val="28"/>
          <w:highlight w:val="none"/>
          <w:lang w:eastAsia="zh-CN"/>
        </w:rPr>
        <w:t>本</w:t>
      </w:r>
      <w:r>
        <w:rPr>
          <w:rFonts w:hint="eastAsia" w:ascii="宋体" w:hAnsi="宋体" w:eastAsia="宋体" w:cs="宋体"/>
          <w:sz w:val="28"/>
          <w:szCs w:val="28"/>
          <w:highlight w:val="none"/>
        </w:rPr>
        <w:t>学科人才培养所要求的基础课程。</w:t>
      </w:r>
      <w:r>
        <w:rPr>
          <w:rFonts w:hint="eastAsia" w:ascii="宋体" w:hAnsi="宋体" w:eastAsia="宋体" w:cs="宋体"/>
          <w:sz w:val="28"/>
          <w:szCs w:val="28"/>
          <w:highlight w:val="none"/>
          <w:lang w:eastAsia="zh-CN"/>
        </w:rPr>
        <w:t>其中</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宋体" w:hAnsi="宋体" w:eastAsia="宋体" w:cs="宋体"/>
          <w:sz w:val="28"/>
          <w:szCs w:val="28"/>
          <w:highlight w:val="none"/>
        </w:rPr>
        <w:t>公共基础课程</w:t>
      </w:r>
      <w:r>
        <w:rPr>
          <w:rFonts w:hint="eastAsia" w:ascii="宋体" w:hAnsi="宋体" w:cs="宋体"/>
          <w:sz w:val="28"/>
          <w:szCs w:val="28"/>
          <w:highlight w:val="none"/>
          <w:lang w:eastAsia="zh-CN"/>
        </w:rPr>
        <w:t>主要包括数学类、物理类、图学类、力学类课程等，</w:t>
      </w:r>
      <w:r>
        <w:rPr>
          <w:rFonts w:hint="eastAsia" w:ascii="宋体" w:hAnsi="宋体" w:eastAsia="宋体" w:cs="宋体"/>
          <w:sz w:val="28"/>
          <w:szCs w:val="28"/>
          <w:highlight w:val="none"/>
        </w:rPr>
        <w:t>由教务处协同各学院组织开设，以课程模块为主要方式，各专业可从中自主选择确定；</w:t>
      </w:r>
      <w:bookmarkStart w:id="2" w:name="_Hlk60929026"/>
      <w:r>
        <w:rPr>
          <w:rFonts w:hint="eastAsia" w:ascii="宋体" w:hAnsi="宋体" w:cs="宋体"/>
          <w:sz w:val="28"/>
          <w:szCs w:val="28"/>
          <w:highlight w:val="none"/>
          <w:lang w:eastAsia="zh-CN"/>
        </w:rPr>
        <w:t>专业基础课程由各专业按照学科大类设置。</w:t>
      </w:r>
      <w:bookmarkEnd w:id="2"/>
    </w:p>
    <w:p w14:paraId="21CBDD8F">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（三）专业教育课程</w:t>
      </w:r>
    </w:p>
    <w:p w14:paraId="61AFFCE5">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1.专业核心课程</w:t>
      </w:r>
    </w:p>
    <w:p w14:paraId="642DD153">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专业核心课程是体现本专业核心知识能力的专业课程。各专业参考教育部《</w:t>
      </w:r>
      <w:r>
        <w:rPr>
          <w:rFonts w:hint="eastAsia" w:ascii="宋体" w:hAnsi="宋体" w:cs="宋体"/>
          <w:sz w:val="28"/>
          <w:szCs w:val="28"/>
          <w:lang w:eastAsia="zh-CN"/>
        </w:rPr>
        <w:t>国标</w:t>
      </w:r>
      <w:r>
        <w:rPr>
          <w:rFonts w:hint="eastAsia" w:ascii="宋体" w:hAnsi="宋体" w:eastAsia="宋体" w:cs="宋体"/>
          <w:sz w:val="28"/>
          <w:szCs w:val="28"/>
        </w:rPr>
        <w:t>》，结合本专业特色，重新整合构建出区别于其他专业的专业核心课程5-7门，按必修课开设。专业核心课程</w:t>
      </w:r>
      <w:r>
        <w:rPr>
          <w:rFonts w:hint="eastAsia" w:ascii="宋体" w:hAnsi="宋体" w:cs="宋体"/>
          <w:sz w:val="28"/>
          <w:szCs w:val="28"/>
          <w:lang w:eastAsia="zh-CN"/>
        </w:rPr>
        <w:t>原则上</w:t>
      </w:r>
      <w:r>
        <w:rPr>
          <w:rFonts w:hint="eastAsia" w:ascii="宋体" w:hAnsi="宋体" w:eastAsia="宋体" w:cs="宋体"/>
          <w:sz w:val="28"/>
          <w:szCs w:val="28"/>
        </w:rPr>
        <w:t>每门不少于3学分，一般应设置实验或实习内容，鼓励专业跨课程设置专业综合实习环节。</w:t>
      </w:r>
    </w:p>
    <w:p w14:paraId="0CEEA767">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2.专业选修课程</w:t>
      </w:r>
    </w:p>
    <w:p w14:paraId="7092C83A">
      <w:pPr>
        <w:widowControl/>
        <w:spacing w:line="360" w:lineRule="auto"/>
        <w:ind w:firstLine="560" w:firstLineChars="200"/>
        <w:rPr>
          <w:rFonts w:hint="eastAsia" w:eastAsia="宋体"/>
          <w:sz w:val="28"/>
          <w:szCs w:val="28"/>
          <w:highlight w:val="none"/>
          <w:lang w:eastAsia="zh-CN"/>
        </w:rPr>
      </w:pPr>
      <w:r>
        <w:rPr>
          <w:rFonts w:hint="eastAsia" w:ascii="宋体" w:hAnsi="宋体" w:eastAsia="宋体" w:cs="宋体"/>
          <w:sz w:val="28"/>
          <w:szCs w:val="28"/>
          <w:highlight w:val="none"/>
          <w:lang w:val="en-US" w:eastAsia="zh-CN"/>
        </w:rPr>
        <w:t>专业选修课程侧重知识的交叉跨度，为学生开展研究性学习提供时间和空间。</w:t>
      </w:r>
      <w:r>
        <w:rPr>
          <w:rFonts w:hint="eastAsia" w:ascii="宋体" w:hAnsi="宋体" w:eastAsia="宋体" w:cs="宋体"/>
          <w:sz w:val="28"/>
          <w:szCs w:val="28"/>
        </w:rPr>
        <w:t>各专业要设置不少于学生应修学分1.5倍学分的专业选修课，供学生自主选择。建立同一学科通用的专业选修课程平台，鼓励相近学科跨学院建立通用专业选修课程平台。</w:t>
      </w:r>
      <w:r>
        <w:rPr>
          <w:rFonts w:hint="eastAsia" w:ascii="宋体" w:hAnsi="宋体" w:cs="宋体"/>
          <w:sz w:val="28"/>
          <w:szCs w:val="28"/>
          <w:highlight w:val="none"/>
          <w:lang w:eastAsia="zh-CN"/>
        </w:rPr>
        <w:t>同时，</w:t>
      </w:r>
      <w:r>
        <w:rPr>
          <w:rFonts w:ascii="Times New Roman" w:hAnsi="Times New Roman"/>
          <w:sz w:val="28"/>
          <w:szCs w:val="28"/>
          <w:highlight w:val="none"/>
        </w:rPr>
        <w:t>各</w:t>
      </w:r>
      <w:r>
        <w:rPr>
          <w:rFonts w:hint="eastAsia"/>
          <w:sz w:val="28"/>
          <w:szCs w:val="28"/>
          <w:highlight w:val="none"/>
          <w:lang w:eastAsia="zh-CN"/>
        </w:rPr>
        <w:t>学院</w:t>
      </w:r>
      <w:r>
        <w:rPr>
          <w:rFonts w:ascii="Times New Roman" w:hAnsi="Times New Roman"/>
          <w:sz w:val="28"/>
          <w:szCs w:val="28"/>
          <w:highlight w:val="none"/>
        </w:rPr>
        <w:t>结合</w:t>
      </w:r>
      <w:r>
        <w:rPr>
          <w:rFonts w:hint="eastAsia"/>
          <w:sz w:val="28"/>
          <w:szCs w:val="28"/>
          <w:highlight w:val="none"/>
          <w:lang w:eastAsia="zh-CN"/>
        </w:rPr>
        <w:t>学科特色、行业前沿</w:t>
      </w:r>
      <w:r>
        <w:rPr>
          <w:rFonts w:ascii="Times New Roman" w:hAnsi="Times New Roman"/>
          <w:sz w:val="28"/>
          <w:szCs w:val="28"/>
          <w:highlight w:val="none"/>
        </w:rPr>
        <w:t>开设</w:t>
      </w:r>
      <w:r>
        <w:rPr>
          <w:rFonts w:hint="eastAsia"/>
          <w:sz w:val="28"/>
          <w:szCs w:val="28"/>
          <w:highlight w:val="none"/>
          <w:lang w:eastAsia="zh-CN"/>
        </w:rPr>
        <w:t>不少于</w:t>
      </w:r>
      <w:r>
        <w:rPr>
          <w:rFonts w:hint="eastAsia"/>
          <w:sz w:val="28"/>
          <w:szCs w:val="28"/>
          <w:highlight w:val="none"/>
          <w:lang w:val="en-US" w:eastAsia="zh-CN"/>
        </w:rPr>
        <w:t>3门的</w:t>
      </w:r>
      <w:r>
        <w:rPr>
          <w:rFonts w:hint="eastAsia"/>
          <w:sz w:val="28"/>
          <w:szCs w:val="28"/>
          <w:highlight w:val="none"/>
          <w:lang w:eastAsia="zh-CN"/>
        </w:rPr>
        <w:t>交叉融合</w:t>
      </w:r>
      <w:r>
        <w:rPr>
          <w:rFonts w:ascii="Times New Roman" w:hAnsi="Times New Roman"/>
          <w:sz w:val="28"/>
          <w:szCs w:val="28"/>
          <w:highlight w:val="none"/>
        </w:rPr>
        <w:t>课程</w:t>
      </w:r>
      <w:r>
        <w:rPr>
          <w:rFonts w:hint="eastAsia"/>
          <w:sz w:val="28"/>
          <w:szCs w:val="28"/>
          <w:highlight w:val="none"/>
          <w:lang w:eastAsia="zh-CN"/>
        </w:rPr>
        <w:t>，推进学科发展与专业教育的深度融合。</w:t>
      </w:r>
    </w:p>
    <w:p w14:paraId="1A0860C1">
      <w:pPr>
        <w:widowControl/>
        <w:spacing w:line="360" w:lineRule="auto"/>
        <w:ind w:firstLine="560" w:firstLineChars="200"/>
        <w:rPr>
          <w:rFonts w:hint="eastAsia" w:ascii="宋体" w:hAnsi="宋体" w:cs="宋体"/>
          <w:sz w:val="28"/>
          <w:szCs w:val="28"/>
          <w:highlight w:val="none"/>
          <w:lang w:val="en-US" w:eastAsia="zh-CN"/>
        </w:rPr>
      </w:pPr>
      <w:r>
        <w:rPr>
          <w:rFonts w:hint="eastAsia" w:ascii="宋体" w:hAnsi="宋体" w:eastAsia="宋体" w:cs="宋体"/>
          <w:sz w:val="28"/>
          <w:szCs w:val="28"/>
          <w:highlight w:val="none"/>
          <w:lang w:val="en-US" w:eastAsia="zh-CN"/>
        </w:rPr>
        <w:t>为培养跨学科、复合型人才，学校鼓励跨专业选修课程，学生可根据自己的兴趣爱好、职业发展规划、学校出台的各类修读建议</w:t>
      </w:r>
      <w:r>
        <w:rPr>
          <w:rFonts w:hint="eastAsia" w:ascii="宋体" w:hAnsi="宋体" w:cs="宋体"/>
          <w:sz w:val="28"/>
          <w:szCs w:val="28"/>
          <w:highlight w:val="none"/>
          <w:lang w:val="en-US" w:eastAsia="zh-CN"/>
        </w:rPr>
        <w:t>等</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自主选修非本专业的任何课程。</w:t>
      </w:r>
    </w:p>
    <w:p w14:paraId="448FE757">
      <w:pPr>
        <w:widowControl/>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学校全面推进</w:t>
      </w:r>
      <w:r>
        <w:rPr>
          <w:rFonts w:hint="eastAsia" w:ascii="宋体" w:hAnsi="宋体" w:eastAsia="宋体" w:cs="宋体"/>
          <w:sz w:val="28"/>
          <w:szCs w:val="28"/>
          <w:highlight w:val="none"/>
          <w:lang w:val="en-US" w:eastAsia="zh-CN"/>
        </w:rPr>
        <w:t>微专业</w:t>
      </w:r>
      <w:r>
        <w:rPr>
          <w:rFonts w:hint="eastAsia" w:ascii="宋体" w:hAnsi="宋体" w:cs="宋体"/>
          <w:sz w:val="28"/>
          <w:szCs w:val="28"/>
          <w:highlight w:val="none"/>
          <w:lang w:val="en-US" w:eastAsia="zh-CN"/>
        </w:rPr>
        <w:t>建设，促进学生跨学科知识能力的培养，通过灵活、系统的培养，使学生在特定的领域具备一定的学术专业素养和行业从业能力，从而更加适应社会需求，提升学生的就业能力和就业竞争力。若</w:t>
      </w:r>
      <w:r>
        <w:rPr>
          <w:rFonts w:hint="eastAsia" w:ascii="宋体" w:hAnsi="宋体" w:eastAsia="宋体" w:cs="宋体"/>
          <w:sz w:val="28"/>
          <w:szCs w:val="28"/>
          <w:highlight w:val="none"/>
          <w:lang w:val="en-US" w:eastAsia="zh-CN"/>
        </w:rPr>
        <w:t>学生完整修读微专业课程计划，满足相关规定者，即可获得相应证书。</w:t>
      </w:r>
    </w:p>
    <w:p w14:paraId="0E7CD9B9">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（四）集中实践课程</w:t>
      </w:r>
    </w:p>
    <w:p w14:paraId="0D568B1D">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sz w:val="28"/>
          <w:szCs w:val="28"/>
        </w:rPr>
        <w:t>集中实践课程包括独立设置的专业实践课程，不包括课内实验、上机和单独实验课程。</w:t>
      </w:r>
    </w:p>
    <w:p w14:paraId="7F275C4F">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专业实践课程主要由毕业设计（论文）、专业实习、毕业实习、课程设计、大型作业、生产实习、工程实训、军事技能、</w:t>
      </w:r>
      <w:r>
        <w:rPr>
          <w:rFonts w:hint="eastAsia" w:ascii="宋体" w:hAnsi="宋体" w:cs="宋体"/>
          <w:sz w:val="28"/>
          <w:szCs w:val="28"/>
          <w:lang w:eastAsia="zh-CN"/>
        </w:rPr>
        <w:t>创新创业训练与实践</w:t>
      </w:r>
      <w:r>
        <w:rPr>
          <w:rFonts w:hint="eastAsia" w:ascii="宋体" w:hAnsi="宋体" w:eastAsia="宋体" w:cs="宋体"/>
          <w:sz w:val="28"/>
          <w:szCs w:val="28"/>
        </w:rPr>
        <w:t>等构成</w:t>
      </w:r>
      <w:r>
        <w:rPr>
          <w:rFonts w:hint="eastAsia" w:ascii="宋体" w:hAnsi="宋体" w:cs="宋体"/>
          <w:sz w:val="28"/>
          <w:szCs w:val="28"/>
          <w:lang w:eastAsia="zh-CN"/>
        </w:rPr>
        <w:t>，</w:t>
      </w:r>
      <w:r>
        <w:rPr>
          <w:rFonts w:hint="eastAsia" w:ascii="宋体" w:hAnsi="宋体" w:eastAsia="宋体" w:cs="宋体"/>
          <w:sz w:val="28"/>
          <w:szCs w:val="28"/>
        </w:rPr>
        <w:t>其中“工程实训”，工科类专业不少于2学分，其它专业不少于1学分。各专业根据实际情况，科学合理安排毕业实习与毕业设计（论文）的具体实施方案，明确考核要求，充分考虑学生的个性化需求，且在第七学期结束前安排好毕业设计（论文）的选题工作。</w:t>
      </w:r>
    </w:p>
    <w:p w14:paraId="55C8F5DE">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五、培养方案的基本框架</w:t>
      </w:r>
    </w:p>
    <w:p w14:paraId="5DF8CB02">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（一）专业名称与代码</w:t>
      </w:r>
    </w:p>
    <w:p w14:paraId="03AE595C">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（二）培养目标</w:t>
      </w:r>
    </w:p>
    <w:p w14:paraId="48A96D9D">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（三）毕业要求（对毕业生知识、能力、素质等方面的要求）</w:t>
      </w:r>
    </w:p>
    <w:p w14:paraId="37E9D9AA">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（四）主干学科（完成人才培养目标所依托的主要学科）</w:t>
      </w:r>
    </w:p>
    <w:p w14:paraId="3673251D">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（五）核心课程（列出本专业人才培养中重要的学科基础课和专业核心课</w:t>
      </w:r>
      <w:r>
        <w:rPr>
          <w:rFonts w:hint="default" w:ascii="宋体" w:hAnsi="宋体" w:cs="宋体"/>
          <w:sz w:val="28"/>
          <w:szCs w:val="28"/>
        </w:rPr>
        <w:t>10门左右</w:t>
      </w:r>
      <w:r>
        <w:rPr>
          <w:rFonts w:hint="eastAsia" w:ascii="宋体" w:hAnsi="宋体" w:eastAsia="宋体" w:cs="宋体"/>
          <w:sz w:val="28"/>
          <w:szCs w:val="28"/>
        </w:rPr>
        <w:t>）</w:t>
      </w:r>
    </w:p>
    <w:p w14:paraId="10CBFC9E">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（六）主要实践</w:t>
      </w:r>
      <w:r>
        <w:rPr>
          <w:rFonts w:hint="eastAsia" w:ascii="宋体" w:hAnsi="宋体" w:cs="宋体"/>
          <w:sz w:val="28"/>
          <w:szCs w:val="28"/>
          <w:lang w:val="en-US" w:eastAsia="zh-CN"/>
        </w:rPr>
        <w:t>性</w:t>
      </w:r>
      <w:r>
        <w:rPr>
          <w:rFonts w:hint="eastAsia" w:ascii="宋体" w:hAnsi="宋体" w:eastAsia="宋体" w:cs="宋体"/>
          <w:sz w:val="28"/>
          <w:szCs w:val="28"/>
        </w:rPr>
        <w:t>教学环节</w:t>
      </w:r>
    </w:p>
    <w:p w14:paraId="2FC35DD9">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（七）主要专业实验</w:t>
      </w:r>
    </w:p>
    <w:p w14:paraId="624824F1">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eastAsia="zh-CN"/>
        </w:rPr>
        <w:t>八</w:t>
      </w:r>
      <w:r>
        <w:rPr>
          <w:rFonts w:hint="eastAsia" w:ascii="宋体" w:hAnsi="宋体" w:eastAsia="宋体" w:cs="宋体"/>
          <w:sz w:val="28"/>
          <w:szCs w:val="28"/>
        </w:rPr>
        <w:t>）毕业学分要求及授予学位</w:t>
      </w:r>
    </w:p>
    <w:p w14:paraId="08B1907C">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eastAsia="zh-CN"/>
        </w:rPr>
        <w:t>九</w:t>
      </w:r>
      <w:r>
        <w:rPr>
          <w:rFonts w:hint="eastAsia" w:ascii="宋体" w:hAnsi="宋体" w:eastAsia="宋体" w:cs="宋体"/>
          <w:sz w:val="28"/>
          <w:szCs w:val="28"/>
        </w:rPr>
        <w:t>）各类课程学时学分分配表</w:t>
      </w:r>
    </w:p>
    <w:p w14:paraId="7D614632">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（十）教学安排指导表（另附表）</w:t>
      </w:r>
    </w:p>
    <w:p w14:paraId="0E8EE8D6">
      <w:pPr>
        <w:widowControl/>
        <w:spacing w:line="360" w:lineRule="auto"/>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（十一）</w:t>
      </w:r>
      <w:r>
        <w:rPr>
          <w:rFonts w:hint="eastAsia" w:ascii="宋体" w:hAnsi="宋体" w:eastAsia="宋体" w:cs="宋体"/>
          <w:sz w:val="28"/>
          <w:szCs w:val="28"/>
          <w:highlight w:val="none"/>
        </w:rPr>
        <w:t>专业培养目标、毕业要求及其与课程的对应关系表</w:t>
      </w:r>
    </w:p>
    <w:p w14:paraId="6E751ED8">
      <w:pPr>
        <w:widowControl/>
        <w:spacing w:line="360" w:lineRule="auto"/>
        <w:ind w:firstLine="562" w:firstLineChars="200"/>
        <w:rPr>
          <w:rFonts w:hint="eastAsia" w:ascii="宋体" w:hAnsi="宋体" w:eastAsia="宋体"/>
          <w:b/>
          <w:sz w:val="28"/>
          <w:szCs w:val="28"/>
          <w:lang w:eastAsia="zh-CN"/>
        </w:rPr>
      </w:pPr>
      <w:r>
        <w:rPr>
          <w:rFonts w:hint="eastAsia" w:ascii="宋体" w:hAnsi="宋体"/>
          <w:b/>
          <w:sz w:val="28"/>
          <w:szCs w:val="28"/>
        </w:rPr>
        <w:t>六、工作要求</w:t>
      </w:r>
      <w:r>
        <w:rPr>
          <w:rFonts w:hint="eastAsia" w:ascii="宋体" w:hAnsi="宋体"/>
          <w:b/>
          <w:sz w:val="28"/>
          <w:szCs w:val="28"/>
          <w:lang w:eastAsia="zh-CN"/>
        </w:rPr>
        <w:t>及组织程序</w:t>
      </w:r>
    </w:p>
    <w:p w14:paraId="43B26C0D">
      <w:pPr>
        <w:widowControl/>
        <w:spacing w:line="360" w:lineRule="auto"/>
        <w:ind w:firstLine="562" w:firstLineChars="200"/>
        <w:rPr>
          <w:rFonts w:hint="eastAsia" w:ascii="宋体" w:hAnsi="宋体" w:cs="宋体"/>
          <w:sz w:val="28"/>
          <w:szCs w:val="28"/>
          <w:highlight w:val="none"/>
          <w:lang w:eastAsia="zh-CN"/>
        </w:rPr>
      </w:pPr>
      <w:r>
        <w:rPr>
          <w:rFonts w:hint="eastAsia" w:ascii="宋体" w:hAnsi="宋体" w:cs="宋体"/>
          <w:b/>
          <w:bCs/>
          <w:sz w:val="28"/>
          <w:szCs w:val="28"/>
          <w:lang w:eastAsia="zh-CN"/>
        </w:rPr>
        <w:t>（一）加强组织领导。</w:t>
      </w:r>
      <w:r>
        <w:rPr>
          <w:rFonts w:hint="eastAsia" w:ascii="宋体" w:hAnsi="宋体" w:cs="宋体"/>
          <w:sz w:val="28"/>
          <w:szCs w:val="28"/>
        </w:rPr>
        <w:t>各学院</w:t>
      </w:r>
      <w:r>
        <w:rPr>
          <w:rFonts w:hint="eastAsia" w:ascii="宋体" w:hAnsi="宋体" w:cs="宋体"/>
          <w:sz w:val="28"/>
          <w:szCs w:val="28"/>
          <w:highlight w:val="none"/>
        </w:rPr>
        <w:t>务必高度重视，成立本科人才培养方案制定工作领导小组和各专业</w:t>
      </w:r>
      <w:r>
        <w:rPr>
          <w:rFonts w:hint="default" w:ascii="宋体" w:hAnsi="宋体" w:cs="宋体"/>
          <w:sz w:val="28"/>
          <w:szCs w:val="28"/>
          <w:highlight w:val="none"/>
        </w:rPr>
        <w:t>人才培养方案修订工作小组</w:t>
      </w:r>
      <w:r>
        <w:rPr>
          <w:rFonts w:hint="eastAsia" w:ascii="宋体" w:hAnsi="宋体" w:cs="宋体"/>
          <w:sz w:val="22"/>
          <w:szCs w:val="22"/>
          <w:highlight w:val="none"/>
        </w:rPr>
        <w:t>（</w:t>
      </w:r>
      <w:r>
        <w:rPr>
          <w:rFonts w:hint="eastAsia" w:ascii="宋体" w:hAnsi="宋体" w:cs="宋体"/>
          <w:sz w:val="22"/>
          <w:szCs w:val="22"/>
          <w:highlight w:val="none"/>
          <w:lang w:eastAsia="zh-CN"/>
        </w:rPr>
        <w:t>注：</w:t>
      </w:r>
      <w:r>
        <w:rPr>
          <w:rFonts w:hint="eastAsia" w:ascii="宋体" w:hAnsi="宋体" w:cs="宋体"/>
          <w:sz w:val="22"/>
          <w:szCs w:val="22"/>
          <w:highlight w:val="none"/>
        </w:rPr>
        <w:t>至少要包含</w:t>
      </w:r>
      <w:r>
        <w:rPr>
          <w:rFonts w:hint="eastAsia" w:ascii="宋体" w:hAnsi="宋体" w:cs="宋体"/>
          <w:sz w:val="22"/>
          <w:szCs w:val="22"/>
          <w:highlight w:val="none"/>
          <w:lang w:val="en-US" w:eastAsia="zh-CN"/>
        </w:rPr>
        <w:t>2</w:t>
      </w:r>
      <w:r>
        <w:rPr>
          <w:rFonts w:hint="default" w:ascii="宋体" w:hAnsi="宋体" w:cs="宋体"/>
          <w:sz w:val="22"/>
          <w:szCs w:val="22"/>
          <w:highlight w:val="none"/>
        </w:rPr>
        <w:t>位行业企业专家）</w:t>
      </w:r>
      <w:r>
        <w:rPr>
          <w:rFonts w:hint="default" w:ascii="宋体" w:hAnsi="宋体" w:cs="宋体"/>
          <w:sz w:val="28"/>
          <w:szCs w:val="28"/>
          <w:highlight w:val="none"/>
        </w:rPr>
        <w:t>，组织学院本科专业人才培养方案的修订和论证</w:t>
      </w:r>
      <w:r>
        <w:rPr>
          <w:rFonts w:hint="eastAsia" w:ascii="宋体" w:hAnsi="宋体" w:cs="宋体"/>
          <w:sz w:val="28"/>
          <w:szCs w:val="28"/>
          <w:highlight w:val="none"/>
          <w:lang w:eastAsia="zh-CN"/>
        </w:rPr>
        <w:t>。</w:t>
      </w:r>
    </w:p>
    <w:p w14:paraId="5ED44A39">
      <w:pPr>
        <w:widowControl/>
        <w:spacing w:line="360" w:lineRule="auto"/>
        <w:ind w:firstLine="560" w:firstLineChars="200"/>
        <w:rPr>
          <w:rFonts w:hint="eastAsia" w:ascii="宋体" w:hAnsi="宋体" w:cs="宋体"/>
          <w:sz w:val="28"/>
          <w:szCs w:val="28"/>
          <w:highlight w:val="none"/>
          <w:lang w:eastAsia="zh-CN"/>
        </w:rPr>
      </w:pPr>
      <w:r>
        <w:rPr>
          <w:rFonts w:hint="eastAsia" w:ascii="宋体" w:hAnsi="宋体" w:cs="宋体"/>
          <w:sz w:val="28"/>
          <w:szCs w:val="28"/>
          <w:highlight w:val="none"/>
          <w:lang w:eastAsia="zh-CN"/>
        </w:rPr>
        <w:t>具体修订工作流程如下：</w:t>
      </w:r>
      <w:r>
        <w:rPr>
          <w:rFonts w:hint="eastAsia" w:ascii="宋体" w:hAnsi="宋体" w:cs="宋体"/>
          <w:sz w:val="28"/>
          <w:szCs w:val="28"/>
          <w:highlight w:val="none"/>
          <w:lang w:val="en-US" w:eastAsia="zh-CN"/>
        </w:rPr>
        <w:t>1.</w:t>
      </w:r>
      <w:r>
        <w:rPr>
          <w:rFonts w:hint="eastAsia" w:ascii="宋体" w:hAnsi="宋体" w:cs="宋体"/>
          <w:sz w:val="28"/>
          <w:szCs w:val="28"/>
          <w:highlight w:val="none"/>
          <w:lang w:eastAsia="zh-CN"/>
        </w:rPr>
        <w:t>广泛调研；</w:t>
      </w:r>
      <w:r>
        <w:rPr>
          <w:rFonts w:hint="eastAsia" w:ascii="宋体" w:hAnsi="宋体" w:cs="宋体"/>
          <w:sz w:val="28"/>
          <w:szCs w:val="28"/>
          <w:highlight w:val="none"/>
          <w:lang w:val="en-US" w:eastAsia="zh-CN"/>
        </w:rPr>
        <w:t>2.各</w:t>
      </w:r>
      <w:r>
        <w:rPr>
          <w:rFonts w:hint="default" w:ascii="宋体" w:hAnsi="宋体" w:cs="宋体"/>
          <w:sz w:val="28"/>
          <w:szCs w:val="28"/>
          <w:highlight w:val="none"/>
        </w:rPr>
        <w:t>专业工作小组编制初稿</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3.组织专家初审、论证并对初稿进行调整；4.</w:t>
      </w:r>
      <w:r>
        <w:rPr>
          <w:rFonts w:hint="eastAsia" w:ascii="宋体" w:hAnsi="宋体" w:cs="宋体"/>
          <w:sz w:val="28"/>
          <w:szCs w:val="28"/>
          <w:highlight w:val="none"/>
          <w:lang w:eastAsia="zh-CN"/>
        </w:rPr>
        <w:t>学院教学指导</w:t>
      </w:r>
      <w:r>
        <w:rPr>
          <w:rFonts w:hint="default" w:ascii="宋体" w:hAnsi="宋体" w:cs="宋体"/>
          <w:sz w:val="28"/>
          <w:szCs w:val="28"/>
          <w:highlight w:val="none"/>
        </w:rPr>
        <w:t>委员会审核</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5.</w:t>
      </w:r>
      <w:r>
        <w:rPr>
          <w:rFonts w:hint="default" w:ascii="宋体" w:hAnsi="宋体" w:cs="宋体"/>
          <w:sz w:val="28"/>
          <w:szCs w:val="28"/>
          <w:highlight w:val="none"/>
        </w:rPr>
        <w:t>学校教学</w:t>
      </w:r>
      <w:r>
        <w:rPr>
          <w:rFonts w:hint="eastAsia" w:ascii="宋体" w:hAnsi="宋体" w:cs="宋体"/>
          <w:sz w:val="28"/>
          <w:szCs w:val="28"/>
          <w:highlight w:val="none"/>
          <w:lang w:eastAsia="zh-CN"/>
        </w:rPr>
        <w:t>指导</w:t>
      </w:r>
      <w:r>
        <w:rPr>
          <w:rFonts w:hint="default" w:ascii="宋体" w:hAnsi="宋体" w:cs="宋体"/>
          <w:sz w:val="28"/>
          <w:szCs w:val="28"/>
          <w:highlight w:val="none"/>
        </w:rPr>
        <w:t>委员会审定</w:t>
      </w:r>
      <w:r>
        <w:rPr>
          <w:rFonts w:hint="eastAsia" w:ascii="宋体" w:hAnsi="宋体" w:cs="宋体"/>
          <w:sz w:val="28"/>
          <w:szCs w:val="28"/>
          <w:highlight w:val="none"/>
          <w:lang w:eastAsia="zh-CN"/>
        </w:rPr>
        <w:t>。</w:t>
      </w:r>
    </w:p>
    <w:p w14:paraId="76A334FB">
      <w:pPr>
        <w:widowControl/>
        <w:spacing w:line="360" w:lineRule="auto"/>
        <w:ind w:firstLine="560" w:firstLineChars="200"/>
        <w:rPr>
          <w:rFonts w:hint="default" w:ascii="宋体" w:hAnsi="宋体" w:cs="宋体"/>
          <w:sz w:val="28"/>
          <w:szCs w:val="28"/>
          <w:highlight w:val="none"/>
        </w:rPr>
      </w:pPr>
      <w:r>
        <w:rPr>
          <w:rFonts w:hint="default" w:ascii="宋体" w:hAnsi="宋体" w:cs="宋体"/>
          <w:sz w:val="28"/>
          <w:szCs w:val="28"/>
          <w:highlight w:val="none"/>
        </w:rPr>
        <w:t>各专业要依据培养方案调整情况，制订相应的课程教学大纲，确保人才培养方案落实到各个实施环节。</w:t>
      </w:r>
    </w:p>
    <w:p w14:paraId="42B3A813">
      <w:pPr>
        <w:widowControl/>
        <w:spacing w:line="360" w:lineRule="auto"/>
        <w:ind w:firstLine="562" w:firstLineChars="200"/>
        <w:rPr>
          <w:rFonts w:hint="default" w:ascii="宋体" w:hAnsi="宋体" w:cs="宋体"/>
          <w:sz w:val="28"/>
          <w:szCs w:val="28"/>
          <w:highlight w:val="none"/>
        </w:rPr>
      </w:pPr>
      <w:r>
        <w:rPr>
          <w:rFonts w:hint="eastAsia" w:ascii="宋体" w:hAnsi="宋体" w:cs="宋体"/>
          <w:b/>
          <w:bCs/>
          <w:sz w:val="28"/>
          <w:szCs w:val="28"/>
          <w:highlight w:val="none"/>
          <w:lang w:eastAsia="zh-CN"/>
        </w:rPr>
        <w:t>（二）深入开展调研。</w:t>
      </w:r>
      <w:r>
        <w:rPr>
          <w:rFonts w:hint="default" w:ascii="宋体" w:hAnsi="宋体" w:cs="宋体"/>
          <w:sz w:val="28"/>
          <w:szCs w:val="28"/>
          <w:highlight w:val="none"/>
        </w:rPr>
        <w:t>各专业要充分调研国内外高校同类专业，确立1个国内标杆专业（可以参考国家级、省级一流专业情况），研判相关行业的发展趋势及需求情况，广泛听取学生、</w:t>
      </w:r>
      <w:r>
        <w:rPr>
          <w:rFonts w:hint="eastAsia" w:ascii="宋体" w:hAnsi="宋体" w:cs="宋体"/>
          <w:sz w:val="28"/>
          <w:szCs w:val="28"/>
          <w:highlight w:val="none"/>
          <w:lang w:eastAsia="zh-CN"/>
        </w:rPr>
        <w:t>专任</w:t>
      </w:r>
      <w:r>
        <w:rPr>
          <w:rFonts w:hint="default" w:ascii="宋体" w:hAnsi="宋体" w:cs="宋体"/>
          <w:sz w:val="28"/>
          <w:szCs w:val="28"/>
          <w:highlight w:val="none"/>
        </w:rPr>
        <w:t>教师、用人单位、</w:t>
      </w:r>
      <w:r>
        <w:rPr>
          <w:rFonts w:hint="eastAsia" w:ascii="宋体" w:hAnsi="宋体" w:cs="宋体"/>
          <w:sz w:val="28"/>
          <w:szCs w:val="28"/>
          <w:highlight w:val="none"/>
          <w:lang w:eastAsia="zh-CN"/>
        </w:rPr>
        <w:t>优秀</w:t>
      </w:r>
      <w:r>
        <w:rPr>
          <w:rFonts w:hint="default" w:ascii="宋体" w:hAnsi="宋体" w:cs="宋体"/>
          <w:sz w:val="28"/>
          <w:szCs w:val="28"/>
          <w:highlight w:val="none"/>
        </w:rPr>
        <w:t>毕业生的意见建议</w:t>
      </w:r>
      <w:r>
        <w:rPr>
          <w:rFonts w:hint="eastAsia" w:ascii="宋体" w:hAnsi="宋体" w:cs="宋体"/>
          <w:sz w:val="28"/>
          <w:szCs w:val="28"/>
          <w:highlight w:val="none"/>
          <w:lang w:eastAsia="zh-CN"/>
        </w:rPr>
        <w:t>，</w:t>
      </w:r>
      <w:r>
        <w:rPr>
          <w:rFonts w:hint="default" w:ascii="宋体" w:hAnsi="宋体" w:cs="宋体"/>
          <w:sz w:val="28"/>
          <w:szCs w:val="28"/>
          <w:highlight w:val="none"/>
        </w:rPr>
        <w:t>明确专业培养方案修订思路与重点，按专业形成调研报告。</w:t>
      </w:r>
    </w:p>
    <w:p w14:paraId="1DC6BFB5">
      <w:pPr>
        <w:widowControl/>
        <w:spacing w:line="360" w:lineRule="auto"/>
        <w:ind w:firstLine="562" w:firstLineChars="200"/>
        <w:rPr>
          <w:rFonts w:hint="default" w:ascii="宋体" w:hAnsi="宋体" w:cs="宋体"/>
          <w:sz w:val="28"/>
          <w:szCs w:val="28"/>
          <w:highlight w:val="none"/>
        </w:rPr>
      </w:pPr>
      <w:r>
        <w:rPr>
          <w:rFonts w:hint="eastAsia" w:ascii="宋体" w:hAnsi="宋体" w:cs="宋体"/>
          <w:b/>
          <w:bCs/>
          <w:sz w:val="28"/>
          <w:szCs w:val="28"/>
          <w:highlight w:val="none"/>
          <w:lang w:eastAsia="zh-CN"/>
        </w:rPr>
        <w:t>（三）精准把握标准。</w:t>
      </w:r>
      <w:r>
        <w:rPr>
          <w:rFonts w:hint="default" w:ascii="宋体" w:hAnsi="宋体" w:cs="宋体"/>
          <w:sz w:val="28"/>
          <w:szCs w:val="28"/>
          <w:highlight w:val="none"/>
        </w:rPr>
        <w:t>各专业应组织学习</w:t>
      </w:r>
      <w:r>
        <w:rPr>
          <w:rFonts w:hint="eastAsia" w:ascii="宋体" w:hAnsi="宋体" w:cs="宋体"/>
          <w:sz w:val="28"/>
          <w:szCs w:val="28"/>
          <w:highlight w:val="none"/>
          <w:lang w:eastAsia="zh-CN"/>
        </w:rPr>
        <w:t>研讨教育部《国标》</w:t>
      </w:r>
      <w:r>
        <w:rPr>
          <w:rFonts w:hint="default" w:ascii="宋体" w:hAnsi="宋体" w:cs="宋体"/>
          <w:sz w:val="28"/>
          <w:szCs w:val="28"/>
          <w:highlight w:val="none"/>
        </w:rPr>
        <w:t>、专业认证</w:t>
      </w:r>
      <w:r>
        <w:rPr>
          <w:rFonts w:hint="eastAsia" w:ascii="宋体" w:hAnsi="宋体" w:cs="宋体"/>
          <w:sz w:val="28"/>
          <w:szCs w:val="28"/>
          <w:highlight w:val="none"/>
          <w:lang w:val="en-US" w:eastAsia="zh-CN"/>
        </w:rPr>
        <w:t>（评估）</w:t>
      </w:r>
      <w:r>
        <w:rPr>
          <w:rFonts w:hint="default" w:ascii="宋体" w:hAnsi="宋体" w:cs="宋体"/>
          <w:sz w:val="28"/>
          <w:szCs w:val="28"/>
          <w:highlight w:val="none"/>
        </w:rPr>
        <w:t>标准、</w:t>
      </w:r>
      <w:r>
        <w:rPr>
          <w:rFonts w:hint="eastAsia" w:ascii="宋体" w:hAnsi="宋体" w:cs="宋体"/>
          <w:sz w:val="28"/>
          <w:szCs w:val="28"/>
          <w:highlight w:val="none"/>
          <w:lang w:eastAsia="zh-CN"/>
        </w:rPr>
        <w:t>本科教育教学</w:t>
      </w:r>
      <w:r>
        <w:rPr>
          <w:rFonts w:hint="default" w:ascii="宋体" w:hAnsi="宋体" w:cs="宋体"/>
          <w:sz w:val="28"/>
          <w:szCs w:val="28"/>
          <w:highlight w:val="none"/>
        </w:rPr>
        <w:t>审核评估指标体系等，</w:t>
      </w:r>
      <w:r>
        <w:rPr>
          <w:rFonts w:hint="eastAsia" w:ascii="宋体" w:hAnsi="宋体" w:cs="宋体"/>
          <w:b w:val="0"/>
          <w:bCs w:val="0"/>
          <w:color w:val="auto"/>
          <w:sz w:val="28"/>
          <w:szCs w:val="28"/>
          <w:highlight w:val="none"/>
          <w:lang w:eastAsia="zh-CN"/>
        </w:rPr>
        <w:t>根据《上海电力大学本科生培养方案修订原则意见》</w:t>
      </w:r>
      <w:r>
        <w:rPr>
          <w:rFonts w:hint="default" w:ascii="宋体" w:hAnsi="宋体" w:cs="宋体"/>
          <w:b w:val="0"/>
          <w:bCs w:val="0"/>
          <w:color w:val="auto"/>
          <w:sz w:val="28"/>
          <w:szCs w:val="28"/>
          <w:highlight w:val="none"/>
        </w:rPr>
        <w:t>，</w:t>
      </w:r>
      <w:r>
        <w:rPr>
          <w:rFonts w:hint="eastAsia" w:ascii="宋体" w:hAnsi="宋体" w:cs="宋体"/>
          <w:sz w:val="28"/>
          <w:szCs w:val="28"/>
          <w:highlight w:val="none"/>
          <w:lang w:eastAsia="zh-CN"/>
        </w:rPr>
        <w:t>编写专业</w:t>
      </w:r>
      <w:r>
        <w:rPr>
          <w:rFonts w:hint="default" w:ascii="宋体" w:hAnsi="宋体" w:cs="宋体"/>
          <w:sz w:val="28"/>
          <w:szCs w:val="28"/>
          <w:highlight w:val="none"/>
        </w:rPr>
        <w:t>人才培养方案。</w:t>
      </w:r>
    </w:p>
    <w:p w14:paraId="65C01645">
      <w:pPr>
        <w:widowControl/>
        <w:spacing w:line="360" w:lineRule="auto"/>
        <w:ind w:firstLine="562" w:firstLineChars="200"/>
        <w:rPr>
          <w:rFonts w:hint="eastAsia" w:ascii="宋体" w:hAnsi="宋体" w:cs="宋体"/>
          <w:sz w:val="28"/>
          <w:szCs w:val="28"/>
          <w:highlight w:val="none"/>
          <w:lang w:eastAsia="zh-CN"/>
        </w:rPr>
      </w:pPr>
      <w:r>
        <w:rPr>
          <w:rFonts w:hint="eastAsia" w:ascii="宋体" w:hAnsi="宋体" w:cs="宋体"/>
          <w:b/>
          <w:bCs/>
          <w:sz w:val="28"/>
          <w:szCs w:val="28"/>
          <w:highlight w:val="none"/>
          <w:lang w:eastAsia="zh-CN"/>
        </w:rPr>
        <w:t>（四）加强沟通协调。</w:t>
      </w:r>
      <w:r>
        <w:rPr>
          <w:rFonts w:hint="default" w:ascii="宋体" w:hAnsi="宋体" w:cs="宋体"/>
          <w:sz w:val="28"/>
          <w:szCs w:val="28"/>
          <w:highlight w:val="none"/>
          <w:lang w:eastAsia="zh-CN"/>
        </w:rPr>
        <w:t>承担基础课程教学的学院要积极推进基础课程教学改革，在征求</w:t>
      </w:r>
      <w:r>
        <w:rPr>
          <w:rFonts w:hint="eastAsia" w:ascii="宋体" w:hAnsi="宋体" w:cs="宋体"/>
          <w:sz w:val="28"/>
          <w:szCs w:val="28"/>
          <w:highlight w:val="none"/>
          <w:lang w:eastAsia="zh-CN"/>
        </w:rPr>
        <w:t>不同</w:t>
      </w:r>
      <w:r>
        <w:rPr>
          <w:rFonts w:hint="default" w:ascii="宋体" w:hAnsi="宋体" w:cs="宋体"/>
          <w:sz w:val="28"/>
          <w:szCs w:val="28"/>
          <w:highlight w:val="none"/>
          <w:lang w:eastAsia="zh-CN"/>
        </w:rPr>
        <w:t>专业对课程</w:t>
      </w:r>
      <w:r>
        <w:rPr>
          <w:rFonts w:hint="eastAsia" w:ascii="宋体" w:hAnsi="宋体" w:cs="宋体"/>
          <w:sz w:val="28"/>
          <w:szCs w:val="28"/>
          <w:highlight w:val="none"/>
          <w:lang w:eastAsia="zh-CN"/>
        </w:rPr>
        <w:t>内容不同需求</w:t>
      </w:r>
      <w:r>
        <w:rPr>
          <w:rFonts w:hint="default" w:ascii="宋体" w:hAnsi="宋体" w:cs="宋体"/>
          <w:sz w:val="28"/>
          <w:szCs w:val="28"/>
          <w:highlight w:val="none"/>
          <w:lang w:eastAsia="zh-CN"/>
        </w:rPr>
        <w:t>的基础上，科学修订分类培养的课程</w:t>
      </w:r>
      <w:r>
        <w:rPr>
          <w:rFonts w:hint="eastAsia" w:ascii="宋体" w:hAnsi="宋体" w:cs="宋体"/>
          <w:sz w:val="28"/>
          <w:szCs w:val="28"/>
          <w:highlight w:val="none"/>
          <w:lang w:eastAsia="zh-CN"/>
        </w:rPr>
        <w:t>及</w:t>
      </w:r>
      <w:r>
        <w:rPr>
          <w:rFonts w:hint="default" w:ascii="宋体" w:hAnsi="宋体" w:cs="宋体"/>
          <w:sz w:val="28"/>
          <w:szCs w:val="28"/>
          <w:highlight w:val="none"/>
          <w:lang w:eastAsia="zh-CN"/>
        </w:rPr>
        <w:t>教学大纲；各专业类要充分研讨，搭建共同的基础课程平台，处理好强化基础与专业特色的关系；各专业在培养方案中设置其他学院开设的课程，要与开课学院做好沟通。</w:t>
      </w:r>
    </w:p>
    <w:p w14:paraId="752A3E10">
      <w:pPr>
        <w:widowControl/>
        <w:spacing w:line="360" w:lineRule="auto"/>
        <w:ind w:firstLine="562" w:firstLineChars="200"/>
        <w:rPr>
          <w:rFonts w:hint="default" w:ascii="宋体" w:hAnsi="宋体" w:cs="宋体"/>
          <w:sz w:val="28"/>
          <w:szCs w:val="28"/>
          <w:highlight w:val="none"/>
          <w:lang w:eastAsia="zh-CN"/>
        </w:rPr>
      </w:pPr>
      <w:r>
        <w:rPr>
          <w:rFonts w:hint="eastAsia" w:ascii="宋体" w:hAnsi="宋体" w:cs="宋体"/>
          <w:b/>
          <w:bCs/>
          <w:sz w:val="28"/>
          <w:szCs w:val="28"/>
          <w:highlight w:val="none"/>
          <w:lang w:eastAsia="zh-CN"/>
        </w:rPr>
        <w:t>（五）组织论证。</w:t>
      </w:r>
      <w:r>
        <w:rPr>
          <w:rFonts w:hint="eastAsia" w:ascii="宋体" w:hAnsi="宋体" w:cs="宋体"/>
          <w:sz w:val="28"/>
          <w:szCs w:val="28"/>
          <w:highlight w:val="none"/>
          <w:lang w:eastAsia="zh-CN"/>
        </w:rPr>
        <w:t>各专业形成培养方案修订初稿后，</w:t>
      </w:r>
      <w:r>
        <w:rPr>
          <w:rFonts w:hint="default" w:ascii="宋体" w:hAnsi="宋体" w:cs="宋体"/>
          <w:sz w:val="28"/>
          <w:szCs w:val="28"/>
          <w:highlight w:val="none"/>
          <w:lang w:eastAsia="zh-CN"/>
        </w:rPr>
        <w:t>组织相关专家对本学院各专业的培养方案进行会议论证，论证专家组中应有不少于</w:t>
      </w:r>
      <w:r>
        <w:rPr>
          <w:rFonts w:hint="eastAsia" w:ascii="宋体" w:hAnsi="宋体" w:cs="宋体"/>
          <w:sz w:val="28"/>
          <w:szCs w:val="28"/>
          <w:highlight w:val="none"/>
          <w:lang w:val="en-US" w:eastAsia="zh-CN"/>
        </w:rPr>
        <w:t>2</w:t>
      </w:r>
      <w:r>
        <w:rPr>
          <w:rFonts w:hint="default" w:ascii="宋体" w:hAnsi="宋体" w:cs="宋体"/>
          <w:sz w:val="28"/>
          <w:szCs w:val="28"/>
          <w:highlight w:val="none"/>
          <w:lang w:eastAsia="zh-CN"/>
        </w:rPr>
        <w:t>名来自校外同类专业的教授</w:t>
      </w:r>
      <w:r>
        <w:rPr>
          <w:rFonts w:hint="eastAsia" w:ascii="宋体" w:hAnsi="宋体" w:cs="宋体"/>
          <w:sz w:val="28"/>
          <w:szCs w:val="28"/>
          <w:highlight w:val="none"/>
          <w:lang w:eastAsia="zh-CN"/>
        </w:rPr>
        <w:t>及</w:t>
      </w:r>
      <w:r>
        <w:rPr>
          <w:rFonts w:hint="eastAsia" w:ascii="宋体" w:hAnsi="宋体" w:cs="宋体"/>
          <w:sz w:val="28"/>
          <w:szCs w:val="28"/>
          <w:highlight w:val="none"/>
          <w:lang w:val="en-US" w:eastAsia="zh-CN"/>
        </w:rPr>
        <w:t>1名</w:t>
      </w:r>
      <w:r>
        <w:rPr>
          <w:rFonts w:hint="default" w:ascii="宋体" w:hAnsi="宋体" w:cs="宋体"/>
          <w:sz w:val="28"/>
          <w:szCs w:val="28"/>
          <w:highlight w:val="none"/>
          <w:lang w:eastAsia="zh-CN"/>
        </w:rPr>
        <w:t>行业专家，并按照专家论证意见对培养方案进行修改完善</w:t>
      </w:r>
      <w:r>
        <w:rPr>
          <w:rFonts w:hint="eastAsia" w:ascii="宋体" w:hAnsi="宋体" w:cs="宋体"/>
          <w:sz w:val="28"/>
          <w:szCs w:val="28"/>
          <w:highlight w:val="none"/>
          <w:lang w:eastAsia="zh-CN"/>
        </w:rPr>
        <w:t>，</w:t>
      </w:r>
      <w:r>
        <w:rPr>
          <w:rFonts w:hint="default" w:ascii="宋体" w:hAnsi="宋体" w:cs="宋体"/>
          <w:sz w:val="28"/>
          <w:szCs w:val="28"/>
          <w:highlight w:val="none"/>
          <w:lang w:eastAsia="zh-CN"/>
        </w:rPr>
        <w:t>填写《本科</w:t>
      </w:r>
      <w:r>
        <w:rPr>
          <w:rFonts w:hint="eastAsia" w:ascii="宋体" w:hAnsi="宋体" w:cs="宋体"/>
          <w:sz w:val="28"/>
          <w:szCs w:val="28"/>
          <w:highlight w:val="none"/>
          <w:lang w:eastAsia="zh-CN"/>
        </w:rPr>
        <w:t>生</w:t>
      </w:r>
      <w:r>
        <w:rPr>
          <w:rFonts w:hint="default" w:ascii="宋体" w:hAnsi="宋体" w:cs="宋体"/>
          <w:sz w:val="28"/>
          <w:szCs w:val="28"/>
          <w:highlight w:val="none"/>
          <w:lang w:eastAsia="zh-CN"/>
        </w:rPr>
        <w:t>培养方案校外专家</w:t>
      </w:r>
      <w:r>
        <w:rPr>
          <w:rFonts w:hint="eastAsia" w:ascii="宋体" w:hAnsi="宋体" w:cs="宋体"/>
          <w:sz w:val="28"/>
          <w:szCs w:val="28"/>
          <w:highlight w:val="none"/>
          <w:lang w:eastAsia="zh-CN"/>
        </w:rPr>
        <w:t>审核</w:t>
      </w:r>
      <w:r>
        <w:rPr>
          <w:rFonts w:hint="default" w:ascii="宋体" w:hAnsi="宋体" w:cs="宋体"/>
          <w:sz w:val="28"/>
          <w:szCs w:val="28"/>
          <w:highlight w:val="none"/>
          <w:lang w:eastAsia="zh-CN"/>
        </w:rPr>
        <w:t>意见表》。</w:t>
      </w:r>
    </w:p>
    <w:p w14:paraId="278B7ADF">
      <w:pPr>
        <w:widowControl/>
        <w:spacing w:line="360" w:lineRule="auto"/>
        <w:ind w:firstLine="562" w:firstLineChars="200"/>
        <w:rPr>
          <w:rFonts w:hint="eastAsia" w:ascii="宋体" w:hAnsi="宋体" w:cs="宋体"/>
          <w:sz w:val="28"/>
          <w:szCs w:val="28"/>
          <w:highlight w:val="none"/>
          <w:lang w:eastAsia="zh-CN"/>
        </w:rPr>
      </w:pPr>
      <w:r>
        <w:rPr>
          <w:rFonts w:hint="eastAsia" w:ascii="宋体" w:hAnsi="宋体" w:cs="宋体"/>
          <w:b/>
          <w:bCs/>
          <w:sz w:val="28"/>
          <w:szCs w:val="28"/>
          <w:lang w:eastAsia="zh-CN"/>
        </w:rPr>
        <w:t>（六）其他要求。</w:t>
      </w:r>
      <w:r>
        <w:rPr>
          <w:rFonts w:hint="eastAsia" w:ascii="宋体" w:hAnsi="宋体" w:cs="宋体"/>
          <w:sz w:val="28"/>
          <w:szCs w:val="28"/>
          <w:highlight w:val="none"/>
          <w:lang w:eastAsia="zh-CN"/>
        </w:rPr>
        <w:t>经学院教学</w:t>
      </w:r>
      <w:r>
        <w:rPr>
          <w:rFonts w:hint="eastAsia" w:ascii="宋体" w:hAnsi="宋体" w:cs="宋体"/>
          <w:sz w:val="28"/>
          <w:szCs w:val="28"/>
          <w:highlight w:val="none"/>
          <w:lang w:val="en-US" w:eastAsia="zh-CN"/>
        </w:rPr>
        <w:t>指导</w:t>
      </w:r>
      <w:r>
        <w:rPr>
          <w:rFonts w:hint="eastAsia" w:ascii="宋体" w:hAnsi="宋体" w:cs="宋体"/>
          <w:sz w:val="28"/>
          <w:szCs w:val="28"/>
          <w:highlight w:val="none"/>
          <w:lang w:eastAsia="zh-CN"/>
        </w:rPr>
        <w:t>委员会审议通过后提交给教务处的培养方案，须有主管教学院长和学院教学指导委员会主任的签字；各</w:t>
      </w:r>
      <w:r>
        <w:rPr>
          <w:rFonts w:hint="eastAsia" w:ascii="宋体" w:hAnsi="宋体" w:cs="宋体"/>
          <w:sz w:val="28"/>
          <w:szCs w:val="28"/>
          <w:highlight w:val="none"/>
          <w:lang w:val="en-US" w:eastAsia="zh-CN"/>
        </w:rPr>
        <w:t>学院</w:t>
      </w:r>
      <w:r>
        <w:rPr>
          <w:rFonts w:hint="eastAsia" w:ascii="宋体" w:hAnsi="宋体" w:cs="宋体"/>
          <w:sz w:val="28"/>
          <w:szCs w:val="28"/>
          <w:highlight w:val="none"/>
          <w:lang w:eastAsia="zh-CN"/>
        </w:rPr>
        <w:t>在修订培养方案和教学大纲的过程中，</w:t>
      </w:r>
      <w:r>
        <w:rPr>
          <w:rFonts w:hint="eastAsia" w:ascii="宋体" w:hAnsi="宋体" w:cs="宋体"/>
          <w:sz w:val="28"/>
          <w:szCs w:val="28"/>
          <w:highlight w:val="none"/>
          <w:lang w:val="en-US" w:eastAsia="zh-CN"/>
        </w:rPr>
        <w:t>请</w:t>
      </w:r>
      <w:r>
        <w:rPr>
          <w:rFonts w:hint="eastAsia" w:ascii="宋体" w:hAnsi="宋体" w:cs="宋体"/>
          <w:sz w:val="28"/>
          <w:szCs w:val="28"/>
          <w:highlight w:val="none"/>
          <w:lang w:eastAsia="zh-CN"/>
        </w:rPr>
        <w:t>注意整理好过程</w:t>
      </w:r>
      <w:r>
        <w:rPr>
          <w:rFonts w:hint="eastAsia" w:ascii="宋体" w:hAnsi="宋体" w:cs="宋体"/>
          <w:sz w:val="28"/>
          <w:szCs w:val="28"/>
          <w:highlight w:val="none"/>
          <w:lang w:val="en-US" w:eastAsia="zh-CN"/>
        </w:rPr>
        <w:t>性资料</w:t>
      </w:r>
      <w:r>
        <w:rPr>
          <w:rFonts w:hint="eastAsia" w:ascii="宋体" w:hAnsi="宋体" w:cs="宋体"/>
          <w:sz w:val="28"/>
          <w:szCs w:val="28"/>
          <w:highlight w:val="none"/>
          <w:lang w:eastAsia="zh-CN"/>
        </w:rPr>
        <w:t>，为</w:t>
      </w:r>
      <w:r>
        <w:rPr>
          <w:rFonts w:hint="eastAsia" w:ascii="宋体" w:hAnsi="宋体" w:cs="宋体"/>
          <w:sz w:val="28"/>
          <w:szCs w:val="28"/>
          <w:highlight w:val="none"/>
          <w:lang w:val="en-US" w:eastAsia="zh-CN"/>
        </w:rPr>
        <w:t>后续</w:t>
      </w:r>
      <w:r>
        <w:rPr>
          <w:rFonts w:hint="eastAsia" w:ascii="宋体" w:hAnsi="宋体" w:cs="宋体"/>
          <w:sz w:val="28"/>
          <w:szCs w:val="28"/>
          <w:highlight w:val="none"/>
          <w:lang w:eastAsia="zh-CN"/>
        </w:rPr>
        <w:t>专业评估、专业认证</w:t>
      </w:r>
      <w:r>
        <w:rPr>
          <w:rFonts w:hint="eastAsia" w:ascii="宋体" w:hAnsi="宋体" w:cs="宋体"/>
          <w:sz w:val="28"/>
          <w:szCs w:val="28"/>
          <w:highlight w:val="none"/>
          <w:lang w:val="en-US" w:eastAsia="zh-CN"/>
        </w:rPr>
        <w:t>及新一轮审核评估</w:t>
      </w:r>
      <w:r>
        <w:rPr>
          <w:rFonts w:hint="eastAsia" w:ascii="宋体" w:hAnsi="宋体" w:cs="宋体"/>
          <w:sz w:val="28"/>
          <w:szCs w:val="28"/>
          <w:highlight w:val="none"/>
          <w:lang w:eastAsia="zh-CN"/>
        </w:rPr>
        <w:t>做好材料支撑。</w:t>
      </w:r>
    </w:p>
    <w:p w14:paraId="3E1DC35D">
      <w:pPr>
        <w:widowControl/>
        <w:spacing w:line="360" w:lineRule="auto"/>
        <w:ind w:firstLine="562" w:firstLineChars="200"/>
        <w:rPr>
          <w:rFonts w:hint="eastAsia" w:ascii="宋体" w:hAnsi="宋体" w:cs="宋体"/>
          <w:sz w:val="28"/>
          <w:szCs w:val="28"/>
          <w:lang w:eastAsia="zh-CN"/>
        </w:rPr>
      </w:pPr>
      <w:r>
        <w:rPr>
          <w:rFonts w:hint="eastAsia" w:ascii="宋体" w:hAnsi="宋体" w:cs="宋体"/>
          <w:b/>
          <w:bCs/>
          <w:sz w:val="28"/>
          <w:szCs w:val="28"/>
          <w:lang w:eastAsia="zh-CN"/>
        </w:rPr>
        <w:t xml:space="preserve">七、附则 </w:t>
      </w:r>
      <w:r>
        <w:rPr>
          <w:rFonts w:hint="eastAsia" w:ascii="宋体" w:hAnsi="宋体" w:cs="宋体"/>
          <w:sz w:val="28"/>
          <w:szCs w:val="28"/>
          <w:lang w:eastAsia="zh-CN"/>
        </w:rPr>
        <w:t xml:space="preserve"> </w:t>
      </w:r>
    </w:p>
    <w:p w14:paraId="6CC62452">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 xml:space="preserve">1.本原则意见自颁布之日起施行，由教务处负责解释。 </w:t>
      </w:r>
    </w:p>
    <w:p w14:paraId="686879AB">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val="en-US" w:eastAsia="zh-CN"/>
        </w:rPr>
        <w:t>2</w:t>
      </w:r>
      <w:r>
        <w:rPr>
          <w:rFonts w:hint="eastAsia" w:ascii="宋体" w:hAnsi="宋体" w:cs="宋体"/>
          <w:sz w:val="28"/>
          <w:szCs w:val="28"/>
          <w:lang w:eastAsia="zh-CN"/>
        </w:rPr>
        <w:t>.本原则意见从</w:t>
      </w:r>
      <w:r>
        <w:rPr>
          <w:rFonts w:hint="default" w:ascii="Times New Roman" w:hAnsi="Times New Roman" w:cs="Times New Roman"/>
          <w:sz w:val="28"/>
          <w:szCs w:val="28"/>
          <w:lang w:eastAsia="zh-CN"/>
        </w:rPr>
        <w:t>20</w:t>
      </w:r>
      <w:r>
        <w:rPr>
          <w:rFonts w:hint="default" w:ascii="Times New Roman" w:hAnsi="Times New Roman" w:cs="Times New Roman"/>
          <w:sz w:val="28"/>
          <w:szCs w:val="28"/>
          <w:lang w:val="en-US" w:eastAsia="zh-CN"/>
        </w:rPr>
        <w:t>24</w:t>
      </w:r>
      <w:r>
        <w:rPr>
          <w:rFonts w:hint="eastAsia" w:ascii="宋体" w:hAnsi="宋体" w:cs="宋体"/>
          <w:sz w:val="28"/>
          <w:szCs w:val="28"/>
          <w:lang w:eastAsia="zh-CN"/>
        </w:rPr>
        <w:t xml:space="preserve">级本科生开始实行。 </w:t>
      </w:r>
    </w:p>
    <w:p w14:paraId="478A1F49">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 xml:space="preserve"> </w:t>
      </w:r>
    </w:p>
    <w:p w14:paraId="5EE16D82">
      <w:pPr>
        <w:widowControl/>
        <w:spacing w:line="360" w:lineRule="auto"/>
        <w:ind w:left="6999" w:leftChars="266" w:hanging="6440" w:hangingChars="2300"/>
        <w:rPr>
          <w:rFonts w:hint="eastAsia" w:ascii="宋体" w:hAnsi="宋体" w:cs="宋体"/>
          <w:sz w:val="28"/>
          <w:szCs w:val="28"/>
          <w:lang w:eastAsia="zh-CN"/>
        </w:rPr>
      </w:pPr>
      <w:r>
        <w:rPr>
          <w:rFonts w:hint="eastAsia" w:ascii="宋体" w:hAnsi="宋体" w:cs="宋体"/>
          <w:sz w:val="28"/>
          <w:szCs w:val="28"/>
          <w:lang w:eastAsia="zh-CN"/>
        </w:rPr>
        <w:t xml:space="preserve">                             </w:t>
      </w:r>
      <w:bookmarkStart w:id="3" w:name="_GoBack"/>
      <w:bookmarkEnd w:id="3"/>
      <w:r>
        <w:rPr>
          <w:rFonts w:hint="eastAsia" w:ascii="宋体" w:hAnsi="宋体" w:cs="宋体"/>
          <w:sz w:val="28"/>
          <w:szCs w:val="28"/>
          <w:lang w:eastAsia="zh-CN"/>
        </w:rPr>
        <w:t xml:space="preserve">              </w:t>
      </w:r>
    </w:p>
    <w:p w14:paraId="1AB55F65">
      <w:pPr>
        <w:widowControl/>
        <w:spacing w:line="360" w:lineRule="auto"/>
        <w:ind w:left="6999" w:leftChars="266" w:hanging="6440" w:hangingChars="2300"/>
        <w:jc w:val="center"/>
        <w:rPr>
          <w:rFonts w:hint="eastAsia" w:ascii="宋体" w:hAnsi="宋体" w:cs="宋体"/>
          <w:sz w:val="28"/>
          <w:szCs w:val="28"/>
          <w:lang w:eastAsia="zh-CN"/>
        </w:rPr>
      </w:pPr>
      <w:r>
        <w:rPr>
          <w:rFonts w:hint="eastAsia" w:ascii="宋体" w:hAnsi="宋体" w:cs="宋体"/>
          <w:sz w:val="28"/>
          <w:szCs w:val="28"/>
          <w:lang w:val="en-US" w:eastAsia="zh-CN"/>
        </w:rPr>
        <w:t xml:space="preserve">                                           </w:t>
      </w:r>
      <w:r>
        <w:rPr>
          <w:rFonts w:hint="eastAsia" w:ascii="宋体" w:hAnsi="宋体" w:cs="宋体"/>
          <w:sz w:val="28"/>
          <w:szCs w:val="28"/>
          <w:lang w:eastAsia="zh-CN"/>
        </w:rPr>
        <w:t>教务处</w:t>
      </w:r>
    </w:p>
    <w:p w14:paraId="1E1EC850">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 xml:space="preserve">                                            </w:t>
      </w:r>
      <w:r>
        <w:rPr>
          <w:rFonts w:hint="default" w:ascii="Times New Roman" w:hAnsi="Times New Roman" w:cs="Times New Roman"/>
          <w:sz w:val="28"/>
          <w:szCs w:val="28"/>
          <w:lang w:eastAsia="zh-CN"/>
        </w:rPr>
        <w:t>202</w:t>
      </w:r>
      <w:r>
        <w:rPr>
          <w:rFonts w:hint="default" w:ascii="Times New Roman" w:hAnsi="Times New Roman" w:cs="Times New Roman"/>
          <w:sz w:val="28"/>
          <w:szCs w:val="28"/>
          <w:lang w:val="en-US" w:eastAsia="zh-CN"/>
        </w:rPr>
        <w:t>4</w:t>
      </w:r>
      <w:r>
        <w:rPr>
          <w:rFonts w:hint="default" w:ascii="Times New Roman" w:hAnsi="Times New Roman" w:cs="Times New Roman"/>
          <w:sz w:val="28"/>
          <w:szCs w:val="28"/>
          <w:lang w:eastAsia="zh-CN"/>
        </w:rPr>
        <w:t>年</w:t>
      </w:r>
      <w:r>
        <w:rPr>
          <w:rFonts w:hint="default" w:ascii="Times New Roman" w:hAnsi="Times New Roman" w:cs="Times New Roman"/>
          <w:sz w:val="28"/>
          <w:szCs w:val="28"/>
          <w:lang w:val="en-US" w:eastAsia="zh-CN"/>
        </w:rPr>
        <w:t>6</w:t>
      </w:r>
      <w:r>
        <w:rPr>
          <w:rFonts w:hint="default" w:ascii="Times New Roman" w:hAnsi="Times New Roman" w:cs="Times New Roman"/>
          <w:sz w:val="28"/>
          <w:szCs w:val="28"/>
          <w:lang w:eastAsia="zh-CN"/>
        </w:rPr>
        <w:t>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90635E"/>
    <w:multiLevelType w:val="singleLevel"/>
    <w:tmpl w:val="9090635E"/>
    <w:lvl w:ilvl="0" w:tentative="0">
      <w:start w:val="2"/>
      <w:numFmt w:val="chineseCounting"/>
      <w:suff w:val="nothing"/>
      <w:lvlText w:val="（%1）"/>
      <w:lvlJc w:val="left"/>
      <w:rPr>
        <w:rFonts w:hint="eastAsia"/>
      </w:rPr>
    </w:lvl>
  </w:abstractNum>
  <w:abstractNum w:abstractNumId="1">
    <w:nsid w:val="A7EED6F2"/>
    <w:multiLevelType w:val="singleLevel"/>
    <w:tmpl w:val="A7EED6F2"/>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zZmNhYzZlYTdlMGQ0ZWExZTYxNDJmNmZhZTM5ZGEifQ=="/>
  </w:docVars>
  <w:rsids>
    <w:rsidRoot w:val="42802BF1"/>
    <w:rsid w:val="003A6AF3"/>
    <w:rsid w:val="0105155C"/>
    <w:rsid w:val="02C70E13"/>
    <w:rsid w:val="04174366"/>
    <w:rsid w:val="045C18A4"/>
    <w:rsid w:val="046F7BB6"/>
    <w:rsid w:val="04F578FB"/>
    <w:rsid w:val="054C3DC9"/>
    <w:rsid w:val="06367A95"/>
    <w:rsid w:val="06412326"/>
    <w:rsid w:val="070E5AE1"/>
    <w:rsid w:val="074E7B04"/>
    <w:rsid w:val="07A33537"/>
    <w:rsid w:val="086C6472"/>
    <w:rsid w:val="0881185D"/>
    <w:rsid w:val="08A45DE0"/>
    <w:rsid w:val="08B33482"/>
    <w:rsid w:val="08D5243E"/>
    <w:rsid w:val="0A6E329B"/>
    <w:rsid w:val="0A74446B"/>
    <w:rsid w:val="0A916C53"/>
    <w:rsid w:val="0BCF3426"/>
    <w:rsid w:val="0BD67B18"/>
    <w:rsid w:val="0D604CEB"/>
    <w:rsid w:val="0F557C74"/>
    <w:rsid w:val="104F41B4"/>
    <w:rsid w:val="10741E80"/>
    <w:rsid w:val="1296471E"/>
    <w:rsid w:val="13070B2A"/>
    <w:rsid w:val="13CE01DF"/>
    <w:rsid w:val="14295D80"/>
    <w:rsid w:val="148C7B85"/>
    <w:rsid w:val="14E71EFF"/>
    <w:rsid w:val="15F558B6"/>
    <w:rsid w:val="17347ADA"/>
    <w:rsid w:val="1B01412D"/>
    <w:rsid w:val="1B352414"/>
    <w:rsid w:val="1B5A7C65"/>
    <w:rsid w:val="1C536590"/>
    <w:rsid w:val="1C8F714F"/>
    <w:rsid w:val="1E663172"/>
    <w:rsid w:val="21FD7810"/>
    <w:rsid w:val="2263692C"/>
    <w:rsid w:val="231802A9"/>
    <w:rsid w:val="23265367"/>
    <w:rsid w:val="2350475F"/>
    <w:rsid w:val="2383019A"/>
    <w:rsid w:val="24210B9F"/>
    <w:rsid w:val="25521AF2"/>
    <w:rsid w:val="25605846"/>
    <w:rsid w:val="25704A08"/>
    <w:rsid w:val="264A731D"/>
    <w:rsid w:val="265C0594"/>
    <w:rsid w:val="27354E9F"/>
    <w:rsid w:val="28F717BC"/>
    <w:rsid w:val="2B3F0240"/>
    <w:rsid w:val="2BE642B5"/>
    <w:rsid w:val="2BF023AA"/>
    <w:rsid w:val="2CB57B83"/>
    <w:rsid w:val="2CCE33CC"/>
    <w:rsid w:val="2DEF3398"/>
    <w:rsid w:val="2E080B83"/>
    <w:rsid w:val="2E0E43FA"/>
    <w:rsid w:val="2E83736C"/>
    <w:rsid w:val="2EB57234"/>
    <w:rsid w:val="31BE4AC5"/>
    <w:rsid w:val="31C90F82"/>
    <w:rsid w:val="32CE04AF"/>
    <w:rsid w:val="33E126A4"/>
    <w:rsid w:val="34311A53"/>
    <w:rsid w:val="35797A22"/>
    <w:rsid w:val="37334BEE"/>
    <w:rsid w:val="37430F7F"/>
    <w:rsid w:val="376F4CD5"/>
    <w:rsid w:val="37AB74C2"/>
    <w:rsid w:val="37C721BC"/>
    <w:rsid w:val="38652427"/>
    <w:rsid w:val="3891486E"/>
    <w:rsid w:val="3995382C"/>
    <w:rsid w:val="39FE5470"/>
    <w:rsid w:val="3A340671"/>
    <w:rsid w:val="3B274A2D"/>
    <w:rsid w:val="3BFC34EF"/>
    <w:rsid w:val="3CB37928"/>
    <w:rsid w:val="3DB95B3C"/>
    <w:rsid w:val="3F6D24B5"/>
    <w:rsid w:val="4073651E"/>
    <w:rsid w:val="42135109"/>
    <w:rsid w:val="421E64A0"/>
    <w:rsid w:val="426741BB"/>
    <w:rsid w:val="427125A9"/>
    <w:rsid w:val="427C1D7C"/>
    <w:rsid w:val="42802BF1"/>
    <w:rsid w:val="43764333"/>
    <w:rsid w:val="450811E1"/>
    <w:rsid w:val="461D7E0C"/>
    <w:rsid w:val="46781CCE"/>
    <w:rsid w:val="47A67EAC"/>
    <w:rsid w:val="486025F6"/>
    <w:rsid w:val="489578B9"/>
    <w:rsid w:val="49AB0EB8"/>
    <w:rsid w:val="49AF26F4"/>
    <w:rsid w:val="4A7706DB"/>
    <w:rsid w:val="4C577725"/>
    <w:rsid w:val="4CD77D71"/>
    <w:rsid w:val="4CE03708"/>
    <w:rsid w:val="4CF17F06"/>
    <w:rsid w:val="4DA60BAA"/>
    <w:rsid w:val="4DF10A3D"/>
    <w:rsid w:val="4EEE34EC"/>
    <w:rsid w:val="4F580B1A"/>
    <w:rsid w:val="4FDA07E6"/>
    <w:rsid w:val="50E770D6"/>
    <w:rsid w:val="526A7ED8"/>
    <w:rsid w:val="532A374B"/>
    <w:rsid w:val="53452C8A"/>
    <w:rsid w:val="53800393"/>
    <w:rsid w:val="549F6B85"/>
    <w:rsid w:val="54D67904"/>
    <w:rsid w:val="553B4B80"/>
    <w:rsid w:val="5544022C"/>
    <w:rsid w:val="55FF2910"/>
    <w:rsid w:val="5818420C"/>
    <w:rsid w:val="59031E4E"/>
    <w:rsid w:val="59101BB2"/>
    <w:rsid w:val="59266203"/>
    <w:rsid w:val="594C5067"/>
    <w:rsid w:val="5B0804D1"/>
    <w:rsid w:val="5B1A64ED"/>
    <w:rsid w:val="5BE52D1F"/>
    <w:rsid w:val="5C312EA5"/>
    <w:rsid w:val="5D4D27E8"/>
    <w:rsid w:val="5DCB59A4"/>
    <w:rsid w:val="5EDA35BE"/>
    <w:rsid w:val="5F4A33E1"/>
    <w:rsid w:val="60CF1FB5"/>
    <w:rsid w:val="62091E13"/>
    <w:rsid w:val="62113707"/>
    <w:rsid w:val="62473C75"/>
    <w:rsid w:val="626B4467"/>
    <w:rsid w:val="6290563C"/>
    <w:rsid w:val="64AE17B6"/>
    <w:rsid w:val="660A5CF9"/>
    <w:rsid w:val="66165A23"/>
    <w:rsid w:val="66E225B5"/>
    <w:rsid w:val="68045525"/>
    <w:rsid w:val="68D02FD0"/>
    <w:rsid w:val="696F24F1"/>
    <w:rsid w:val="69C04704"/>
    <w:rsid w:val="6AB21B8B"/>
    <w:rsid w:val="6B7A787B"/>
    <w:rsid w:val="6C2162C3"/>
    <w:rsid w:val="6C717017"/>
    <w:rsid w:val="6CB0280D"/>
    <w:rsid w:val="6D671C0C"/>
    <w:rsid w:val="6E144F70"/>
    <w:rsid w:val="6E6A7C22"/>
    <w:rsid w:val="6E7C2BAE"/>
    <w:rsid w:val="6F154FCA"/>
    <w:rsid w:val="710B4C61"/>
    <w:rsid w:val="72F35B4A"/>
    <w:rsid w:val="7329156C"/>
    <w:rsid w:val="732D105C"/>
    <w:rsid w:val="7358514C"/>
    <w:rsid w:val="758A31FA"/>
    <w:rsid w:val="76452694"/>
    <w:rsid w:val="7700165D"/>
    <w:rsid w:val="786A240A"/>
    <w:rsid w:val="797176E1"/>
    <w:rsid w:val="79F95982"/>
    <w:rsid w:val="7A261ED7"/>
    <w:rsid w:val="7A5273D0"/>
    <w:rsid w:val="7AC31DEF"/>
    <w:rsid w:val="7B7E3E7D"/>
    <w:rsid w:val="7BB75645"/>
    <w:rsid w:val="7C88395E"/>
    <w:rsid w:val="7CBF65FE"/>
    <w:rsid w:val="7D164BA0"/>
    <w:rsid w:val="7D3A3F11"/>
    <w:rsid w:val="7DDA033E"/>
    <w:rsid w:val="7EDD11DD"/>
    <w:rsid w:val="7F993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eastAsia="宋体" w:cs="宋体"/>
      <w:kern w:val="0"/>
      <w:sz w:val="24"/>
      <w:szCs w:val="24"/>
      <w:lang w:val="zh-CN" w:bidi="zh-CN"/>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7447</Words>
  <Characters>7586</Characters>
  <Lines>0</Lines>
  <Paragraphs>0</Paragraphs>
  <TotalTime>73</TotalTime>
  <ScaleCrop>false</ScaleCrop>
  <LinksUpToDate>false</LinksUpToDate>
  <CharactersWithSpaces>7724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2022-03-10T06:19:00Z</dcterms:created>
  <dc:creator>绿日</dc:creator>
  <cp:lastModifiedBy>咘吥小麦</cp:lastModifiedBy>
  <dcterms:modified xsi:type="dcterms:W3CDTF">2024-08-16T07:40:18Z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F3E6647360D642C9A456782890EB6A97</vt:lpwstr>
  </property>
  <property fmtid="{D5CDD505-2E9C-101B-9397-08002B2CF9AE}" pid="4" name="commondata">
    <vt:lpwstr>eyJoZGlkIjoiOTFiZDkzODYxNmY1OTY3MTI3MGE2NjViYzM4ZDQ5YTAifQ==</vt:lpwstr>
  </property>
</Properties>
</file>