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F5ED70">
      <w:pPr>
        <w:spacing w:line="360" w:lineRule="auto"/>
        <w:rPr>
          <w:rFonts w:ascii="仿宋" w:hAnsi="仿宋" w:eastAsia="仿宋"/>
          <w:b/>
          <w:bCs/>
          <w:color w:val="auto"/>
          <w:sz w:val="24"/>
          <w:szCs w:val="24"/>
        </w:rPr>
      </w:pPr>
    </w:p>
    <w:p w14:paraId="12A2AF9E">
      <w:pPr>
        <w:pStyle w:val="14"/>
        <w:spacing w:before="117" w:line="360" w:lineRule="auto"/>
        <w:ind w:left="0"/>
        <w:jc w:val="center"/>
        <w:rPr>
          <w:rFonts w:ascii="宋体" w:hAnsi="宋体" w:eastAsia="宋体"/>
          <w:b/>
          <w:color w:val="auto"/>
          <w:sz w:val="32"/>
          <w:szCs w:val="32"/>
          <w:lang w:eastAsia="zh-CN"/>
        </w:rPr>
      </w:pPr>
      <w:r>
        <w:rPr>
          <w:rFonts w:hint="eastAsia" w:ascii="宋体" w:hAnsi="宋体" w:eastAsia="宋体"/>
          <w:b/>
          <w:color w:val="auto"/>
          <w:sz w:val="32"/>
          <w:szCs w:val="32"/>
          <w:lang w:eastAsia="zh-CN"/>
        </w:rPr>
        <w:t>上海电力大学202</w:t>
      </w:r>
      <w:r>
        <w:rPr>
          <w:rFonts w:hint="eastAsia" w:ascii="宋体" w:hAnsi="宋体" w:eastAsia="宋体"/>
          <w:b/>
          <w:color w:val="auto"/>
          <w:sz w:val="32"/>
          <w:szCs w:val="32"/>
          <w:lang w:val="en-US" w:eastAsia="zh-CN"/>
        </w:rPr>
        <w:t>5</w:t>
      </w:r>
      <w:r>
        <w:rPr>
          <w:rFonts w:hint="eastAsia" w:ascii="宋体" w:hAnsi="宋体" w:eastAsia="宋体"/>
          <w:b/>
          <w:color w:val="auto"/>
          <w:sz w:val="32"/>
          <w:szCs w:val="32"/>
          <w:lang w:eastAsia="zh-CN"/>
        </w:rPr>
        <w:t>-202</w:t>
      </w:r>
      <w:r>
        <w:rPr>
          <w:rFonts w:hint="eastAsia" w:ascii="宋体" w:hAnsi="宋体" w:eastAsia="宋体"/>
          <w:b/>
          <w:color w:val="auto"/>
          <w:sz w:val="32"/>
          <w:szCs w:val="32"/>
          <w:lang w:val="en-US" w:eastAsia="zh-CN"/>
        </w:rPr>
        <w:t>6</w:t>
      </w:r>
      <w:r>
        <w:rPr>
          <w:rFonts w:hint="eastAsia" w:ascii="宋体" w:hAnsi="宋体" w:eastAsia="宋体"/>
          <w:b/>
          <w:color w:val="auto"/>
          <w:sz w:val="32"/>
          <w:szCs w:val="32"/>
          <w:lang w:eastAsia="zh-CN"/>
        </w:rPr>
        <w:t>学年研究生缴纳学费、住宿费通知</w:t>
      </w:r>
    </w:p>
    <w:p w14:paraId="0637F048">
      <w:pPr>
        <w:pStyle w:val="5"/>
        <w:snapToGrid w:val="0"/>
        <w:spacing w:line="360" w:lineRule="auto"/>
        <w:jc w:val="both"/>
        <w:rPr>
          <w:rFonts w:ascii="宋体" w:hAnsi="宋体" w:eastAsia="宋体"/>
          <w:color w:val="auto"/>
          <w:sz w:val="28"/>
          <w:szCs w:val="28"/>
          <w:lang w:eastAsia="zh-CN"/>
        </w:rPr>
      </w:pPr>
    </w:p>
    <w:p w14:paraId="2B09B042">
      <w:pPr>
        <w:pStyle w:val="5"/>
        <w:snapToGrid w:val="0"/>
        <w:spacing w:line="360" w:lineRule="auto"/>
        <w:ind w:firstLine="560" w:firstLineChars="200"/>
        <w:jc w:val="both"/>
        <w:rPr>
          <w:rFonts w:ascii="宋体" w:hAnsi="宋体" w:eastAsia="宋体" w:cs="宋体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上海电力大学202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-202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6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学年研究生新生及老生学费、住宿费的收缴工作现在已经开始。请各位同学按照通知要求在规定日期内完成缴费，以免影响新学年注册、选课等。现就具体事宜通知如下：</w:t>
      </w:r>
    </w:p>
    <w:p w14:paraId="2DBB8D00">
      <w:pPr>
        <w:pStyle w:val="5"/>
        <w:snapToGrid w:val="0"/>
        <w:spacing w:line="360" w:lineRule="auto"/>
        <w:ind w:left="420" w:leftChars="200"/>
        <w:jc w:val="both"/>
        <w:rPr>
          <w:rFonts w:ascii="宋体" w:hAnsi="宋体" w:eastAsia="宋体" w:cs="宋体"/>
          <w:b/>
          <w:bCs/>
          <w:color w:val="auto"/>
          <w:spacing w:val="1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pacing w:val="1"/>
          <w:sz w:val="28"/>
          <w:szCs w:val="28"/>
          <w:lang w:eastAsia="zh-CN"/>
        </w:rPr>
        <w:t>一、缴费方式</w:t>
      </w:r>
    </w:p>
    <w:p w14:paraId="0F1CF53F">
      <w:pPr>
        <w:pStyle w:val="5"/>
        <w:snapToGrid w:val="0"/>
        <w:spacing w:line="360" w:lineRule="auto"/>
        <w:ind w:firstLine="566" w:firstLineChars="200"/>
        <w:jc w:val="both"/>
        <w:rPr>
          <w:rFonts w:ascii="宋体" w:hAnsi="宋体" w:eastAsia="宋体" w:cs="宋体"/>
          <w:color w:val="auto"/>
          <w:spacing w:val="1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color w:val="auto"/>
          <w:spacing w:val="1"/>
          <w:sz w:val="28"/>
          <w:szCs w:val="28"/>
          <w:lang w:eastAsia="zh-CN"/>
        </w:rPr>
        <w:t>随申办市民云APP线上缴费</w:t>
      </w:r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eastAsia="zh-CN"/>
        </w:rPr>
        <w:t>：具体登陆</w:t>
      </w:r>
      <w:bookmarkStart w:id="0" w:name="_Hlk48047853"/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eastAsia="zh-CN"/>
        </w:rPr>
        <w:t>操作流程</w:t>
      </w:r>
      <w:bookmarkEnd w:id="0"/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eastAsia="zh-CN"/>
        </w:rPr>
        <w:t>见附件：《上海电力大学学生缴费操作说明》。</w:t>
      </w:r>
    </w:p>
    <w:p w14:paraId="4554AFDF">
      <w:pPr>
        <w:pStyle w:val="5"/>
        <w:snapToGrid w:val="0"/>
        <w:spacing w:line="360" w:lineRule="auto"/>
        <w:ind w:left="420" w:leftChars="200"/>
        <w:jc w:val="both"/>
        <w:rPr>
          <w:rFonts w:ascii="宋体" w:hAnsi="宋体" w:eastAsia="宋体" w:cs="宋体"/>
          <w:b/>
          <w:bCs/>
          <w:color w:val="auto"/>
          <w:spacing w:val="1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pacing w:val="1"/>
          <w:sz w:val="28"/>
          <w:szCs w:val="28"/>
          <w:lang w:eastAsia="zh-CN"/>
        </w:rPr>
        <w:t>二、缴费时间</w:t>
      </w:r>
    </w:p>
    <w:p w14:paraId="5CEBD1B5">
      <w:pPr>
        <w:pStyle w:val="5"/>
        <w:snapToGrid w:val="0"/>
        <w:spacing w:line="360" w:lineRule="auto"/>
        <w:ind w:firstLine="564" w:firstLineChars="200"/>
        <w:jc w:val="both"/>
        <w:rPr>
          <w:rFonts w:ascii="宋体" w:hAnsi="宋体" w:eastAsia="宋体" w:cs="宋体"/>
          <w:color w:val="auto"/>
          <w:spacing w:val="1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eastAsia="zh-CN"/>
        </w:rPr>
        <w:t>请于</w:t>
      </w:r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val="en-US" w:eastAsia="zh-CN"/>
        </w:rPr>
        <w:t>9</w:t>
      </w:r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eastAsia="zh-CN"/>
        </w:rPr>
        <w:t>月</w:t>
      </w:r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val="en-US" w:eastAsia="zh-CN"/>
        </w:rPr>
        <w:t>10</w:t>
      </w:r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eastAsia="zh-CN"/>
        </w:rPr>
        <w:t>日-9月</w:t>
      </w:r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val="en-US" w:eastAsia="zh-CN"/>
        </w:rPr>
        <w:t>18</w:t>
      </w:r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eastAsia="zh-CN"/>
        </w:rPr>
        <w:t>日期间完成学费缴费工作（“绿色通道”学生除外）。住宿费缴费时间另行通知。</w:t>
      </w:r>
      <w:r>
        <w:rPr>
          <w:rFonts w:ascii="宋体" w:hAnsi="宋体" w:eastAsia="宋体" w:cs="宋体"/>
          <w:color w:val="auto"/>
          <w:spacing w:val="1"/>
          <w:sz w:val="28"/>
          <w:szCs w:val="28"/>
          <w:lang w:eastAsia="zh-CN"/>
        </w:rPr>
        <w:t>202</w:t>
      </w:r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eastAsia="zh-CN"/>
        </w:rPr>
        <w:t>年秋季即将入伍新兵不用缴纳2</w:t>
      </w:r>
      <w:r>
        <w:rPr>
          <w:rFonts w:ascii="宋体" w:hAnsi="宋体" w:eastAsia="宋体" w:cs="宋体"/>
          <w:color w:val="auto"/>
          <w:spacing w:val="1"/>
          <w:sz w:val="28"/>
          <w:szCs w:val="28"/>
          <w:lang w:eastAsia="zh-CN"/>
        </w:rPr>
        <w:t>02</w:t>
      </w:r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val="en-US" w:eastAsia="zh-CN"/>
        </w:rPr>
        <w:t>5</w:t>
      </w:r>
      <w:r>
        <w:rPr>
          <w:rFonts w:ascii="宋体" w:hAnsi="宋体" w:eastAsia="宋体" w:cs="宋体"/>
          <w:color w:val="auto"/>
          <w:spacing w:val="1"/>
          <w:sz w:val="28"/>
          <w:szCs w:val="28"/>
          <w:lang w:eastAsia="zh-CN"/>
        </w:rPr>
        <w:t>-202</w:t>
      </w:r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val="en-US" w:eastAsia="zh-CN"/>
        </w:rPr>
        <w:t>6</w:t>
      </w:r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eastAsia="zh-CN"/>
        </w:rPr>
        <w:t>学年学费、住宿费。</w:t>
      </w:r>
    </w:p>
    <w:p w14:paraId="64750E00">
      <w:pPr>
        <w:pStyle w:val="5"/>
        <w:snapToGrid w:val="0"/>
        <w:spacing w:line="360" w:lineRule="auto"/>
        <w:ind w:firstLine="566" w:firstLineChars="200"/>
        <w:jc w:val="both"/>
        <w:rPr>
          <w:rFonts w:ascii="宋体" w:hAnsi="宋体" w:eastAsia="宋体" w:cs="宋体"/>
          <w:b/>
          <w:bCs/>
          <w:color w:val="auto"/>
          <w:spacing w:val="1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pacing w:val="1"/>
          <w:sz w:val="28"/>
          <w:szCs w:val="28"/>
          <w:lang w:eastAsia="zh-CN"/>
        </w:rPr>
        <w:t>三、其他</w:t>
      </w:r>
    </w:p>
    <w:p w14:paraId="79A7123A">
      <w:pPr>
        <w:pStyle w:val="5"/>
        <w:snapToGrid w:val="0"/>
        <w:spacing w:line="360" w:lineRule="auto"/>
        <w:ind w:firstLine="564" w:firstLineChars="200"/>
        <w:jc w:val="both"/>
        <w:rPr>
          <w:rFonts w:ascii="宋体" w:hAnsi="宋体" w:eastAsia="宋体" w:cs="宋体"/>
          <w:color w:val="auto"/>
          <w:spacing w:val="1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eastAsia="zh-CN"/>
        </w:rPr>
        <w:t>申请“绿色通道”（生源地贷款）,且符合家庭经济困难条件的学生，可向</w:t>
      </w:r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val="en-US" w:eastAsia="zh-CN"/>
        </w:rPr>
        <w:t>生源所</w:t>
      </w:r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eastAsia="zh-CN"/>
        </w:rPr>
        <w:t>在地“学生资助管理中心”咨询、申请生源地贷款。如果当地无法办理生源地贷款，来学校报到</w:t>
      </w:r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val="en-US" w:eastAsia="zh-CN"/>
        </w:rPr>
        <w:t>并进行贫困生认定</w:t>
      </w:r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eastAsia="zh-CN"/>
        </w:rPr>
        <w:t>后，</w:t>
      </w:r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val="en-US" w:eastAsia="zh-CN"/>
        </w:rPr>
        <w:t>可</w:t>
      </w:r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eastAsia="zh-CN"/>
        </w:rPr>
        <w:t>向银行申请国家助学贷款。</w:t>
      </w:r>
    </w:p>
    <w:p w14:paraId="1973416B">
      <w:pPr>
        <w:pStyle w:val="5"/>
        <w:snapToGrid w:val="0"/>
        <w:spacing w:line="360" w:lineRule="auto"/>
        <w:ind w:firstLine="560" w:firstLineChars="200"/>
        <w:jc w:val="right"/>
        <w:rPr>
          <w:rFonts w:ascii="宋体" w:hAnsi="宋体" w:eastAsia="宋体" w:cs="宋体"/>
          <w:color w:val="auto"/>
          <w:sz w:val="28"/>
          <w:szCs w:val="28"/>
          <w:u w:val="single"/>
          <w:lang w:eastAsia="zh-CN"/>
        </w:rPr>
      </w:pPr>
    </w:p>
    <w:p w14:paraId="75A17392">
      <w:pPr>
        <w:pStyle w:val="5"/>
        <w:snapToGrid w:val="0"/>
        <w:spacing w:line="360" w:lineRule="auto"/>
        <w:ind w:firstLine="560" w:firstLineChars="200"/>
        <w:jc w:val="right"/>
        <w:rPr>
          <w:rFonts w:ascii="宋体" w:hAnsi="宋体" w:eastAsia="宋体" w:cs="宋体"/>
          <w:color w:val="auto"/>
          <w:sz w:val="28"/>
          <w:szCs w:val="28"/>
          <w:u w:val="single"/>
          <w:lang w:eastAsia="zh-CN"/>
        </w:rPr>
      </w:pPr>
    </w:p>
    <w:p w14:paraId="4DDB8FBD">
      <w:pPr>
        <w:pStyle w:val="5"/>
        <w:snapToGrid w:val="0"/>
        <w:spacing w:line="360" w:lineRule="auto"/>
        <w:ind w:firstLine="564" w:firstLineChars="200"/>
        <w:jc w:val="right"/>
        <w:rPr>
          <w:rFonts w:ascii="宋体" w:hAnsi="宋体" w:eastAsia="宋体" w:cs="宋体"/>
          <w:color w:val="auto"/>
          <w:spacing w:val="1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eastAsia="zh-CN"/>
        </w:rPr>
        <w:t>上海电力大学财务处</w:t>
      </w:r>
    </w:p>
    <w:p w14:paraId="05EDB5CF">
      <w:pPr>
        <w:pStyle w:val="5"/>
        <w:wordWrap w:val="0"/>
        <w:snapToGrid w:val="0"/>
        <w:spacing w:line="360" w:lineRule="auto"/>
        <w:ind w:firstLine="564" w:firstLineChars="200"/>
        <w:jc w:val="right"/>
        <w:rPr>
          <w:rFonts w:hint="default" w:ascii="宋体" w:hAnsi="宋体" w:eastAsia="宋体" w:cs="宋体"/>
          <w:color w:val="auto"/>
          <w:spacing w:val="1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eastAsia="zh-CN"/>
        </w:rPr>
        <w:t xml:space="preserve"> 202</w:t>
      </w:r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val="en-US" w:eastAsia="zh-CN"/>
        </w:rPr>
        <w:t>5年8月</w:t>
      </w:r>
      <w:bookmarkStart w:id="1" w:name="_GoBack"/>
      <w:bookmarkEnd w:id="1"/>
    </w:p>
    <w:p w14:paraId="2A0B3308">
      <w:pPr>
        <w:pStyle w:val="5"/>
        <w:snapToGrid w:val="0"/>
        <w:spacing w:line="360" w:lineRule="auto"/>
        <w:ind w:firstLine="564" w:firstLineChars="200"/>
        <w:jc w:val="right"/>
        <w:rPr>
          <w:rFonts w:ascii="宋体" w:hAnsi="宋体" w:eastAsia="宋体" w:cs="宋体"/>
          <w:color w:val="auto"/>
          <w:spacing w:val="1"/>
          <w:sz w:val="28"/>
          <w:szCs w:val="28"/>
          <w:lang w:eastAsia="zh-CN"/>
        </w:rPr>
      </w:pPr>
    </w:p>
    <w:p w14:paraId="7B262E7B">
      <w:pPr>
        <w:pStyle w:val="5"/>
        <w:wordWrap w:val="0"/>
        <w:snapToGrid w:val="0"/>
        <w:spacing w:line="360" w:lineRule="auto"/>
        <w:ind w:firstLine="564" w:firstLineChars="200"/>
        <w:jc w:val="center"/>
        <w:rPr>
          <w:rFonts w:ascii="宋体" w:hAnsi="宋体" w:eastAsia="宋体" w:cs="宋体"/>
          <w:color w:val="auto"/>
          <w:spacing w:val="1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eastAsia="zh-CN"/>
        </w:rPr>
        <w:t xml:space="preserve">                                                    </w:t>
      </w:r>
    </w:p>
    <w:p w14:paraId="02D22950">
      <w:pPr>
        <w:pStyle w:val="5"/>
        <w:wordWrap w:val="0"/>
        <w:snapToGrid w:val="0"/>
        <w:spacing w:line="360" w:lineRule="auto"/>
        <w:jc w:val="both"/>
        <w:rPr>
          <w:rFonts w:ascii="宋体" w:hAnsi="宋体" w:eastAsia="宋体" w:cs="宋体"/>
          <w:color w:val="auto"/>
          <w:spacing w:val="1"/>
          <w:sz w:val="28"/>
          <w:szCs w:val="28"/>
          <w:lang w:eastAsia="zh-CN"/>
        </w:rPr>
      </w:pPr>
    </w:p>
    <w:p w14:paraId="538782A8">
      <w:pPr>
        <w:spacing w:line="360" w:lineRule="auto"/>
        <w:rPr>
          <w:rFonts w:ascii="仿宋" w:hAnsi="仿宋" w:eastAsia="仿宋"/>
          <w:color w:val="auto"/>
          <w:sz w:val="24"/>
          <w:szCs w:val="24"/>
        </w:rPr>
      </w:pPr>
    </w:p>
    <w:p w14:paraId="10AC4166">
      <w:pPr>
        <w:spacing w:line="360" w:lineRule="auto"/>
        <w:rPr>
          <w:rFonts w:ascii="仿宋" w:hAnsi="仿宋" w:eastAsia="仿宋"/>
          <w:color w:val="auto"/>
          <w:sz w:val="24"/>
          <w:szCs w:val="24"/>
        </w:rPr>
      </w:pPr>
    </w:p>
    <w:p w14:paraId="3B55B2C8">
      <w:pPr>
        <w:jc w:val="center"/>
        <w:rPr>
          <w:b/>
          <w:bCs/>
          <w:color w:val="auto"/>
          <w:sz w:val="40"/>
          <w:szCs w:val="40"/>
        </w:rPr>
      </w:pPr>
      <w:r>
        <w:rPr>
          <w:rFonts w:hint="eastAsia"/>
          <w:b/>
          <w:bCs/>
          <w:color w:val="auto"/>
          <w:sz w:val="40"/>
          <w:szCs w:val="40"/>
        </w:rPr>
        <w:t>附件：上海电力大学学生缴费操作说明</w:t>
      </w:r>
    </w:p>
    <w:p w14:paraId="61B87C7E">
      <w:pPr>
        <w:pStyle w:val="2"/>
        <w:numPr>
          <w:ilvl w:val="0"/>
          <w:numId w:val="1"/>
        </w:numPr>
        <w:rPr>
          <w:color w:val="auto"/>
        </w:rPr>
      </w:pPr>
      <w:r>
        <w:rPr>
          <w:rFonts w:hint="eastAsia"/>
          <w:color w:val="auto"/>
        </w:rPr>
        <w:t>学生访问登录</w:t>
      </w:r>
    </w:p>
    <w:p w14:paraId="7D8CE5CE">
      <w:pPr>
        <w:pStyle w:val="3"/>
        <w:numPr>
          <w:ilvl w:val="1"/>
          <w:numId w:val="1"/>
        </w:numPr>
        <w:rPr>
          <w:color w:val="auto"/>
        </w:rPr>
      </w:pPr>
      <w:r>
        <w:rPr>
          <w:rFonts w:hint="eastAsia"/>
          <w:color w:val="auto"/>
        </w:rPr>
        <w:t>通过“市教委”专栏选择对应学校</w:t>
      </w:r>
    </w:p>
    <w:p w14:paraId="21590F97">
      <w:pPr>
        <w:spacing w:line="360" w:lineRule="auto"/>
        <w:ind w:firstLine="480" w:firstLineChars="20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>（1）学生登录“随申办市民云App</w:t>
      </w:r>
      <w:r>
        <w:rPr>
          <w:rFonts w:ascii="仿宋" w:hAnsi="仿宋" w:eastAsia="仿宋"/>
          <w:color w:val="auto"/>
          <w:sz w:val="24"/>
          <w:szCs w:val="24"/>
        </w:rPr>
        <w:t>”</w:t>
      </w:r>
      <w:r>
        <w:rPr>
          <w:rFonts w:hint="eastAsia" w:ascii="仿宋" w:hAnsi="仿宋" w:eastAsia="仿宋"/>
          <w:color w:val="auto"/>
          <w:sz w:val="24"/>
          <w:szCs w:val="24"/>
        </w:rPr>
        <w:t>后，在随申办首页点击办事，如图1；</w:t>
      </w:r>
    </w:p>
    <w:p w14:paraId="70B7E227">
      <w:pPr>
        <w:spacing w:line="360" w:lineRule="auto"/>
        <w:ind w:firstLine="480" w:firstLineChars="20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>（2）在“办事”栏目中找到“市教委”，如图2；</w:t>
      </w:r>
    </w:p>
    <w:p w14:paraId="596BEB40">
      <w:pPr>
        <w:spacing w:line="360" w:lineRule="auto"/>
        <w:ind w:firstLine="480" w:firstLineChars="20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>（3）进入市教委板块后，可发现教育缴费专栏；如图3；</w:t>
      </w:r>
    </w:p>
    <w:p w14:paraId="1C2CE479">
      <w:pPr>
        <w:spacing w:line="360" w:lineRule="auto"/>
        <w:ind w:firstLine="480" w:firstLineChars="20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>（4）点击上海电力大学学费缴纳链接后，进入上海电力大学学生缴费门户，如图4；</w:t>
      </w:r>
    </w:p>
    <w:p w14:paraId="0145B0DB">
      <w:pPr>
        <w:spacing w:line="360" w:lineRule="auto"/>
        <w:ind w:firstLine="420" w:firstLineChars="200"/>
        <w:rPr>
          <w:rFonts w:ascii="仿宋" w:hAnsi="仿宋" w:eastAsia="仿宋"/>
          <w:color w:val="auto"/>
          <w:sz w:val="24"/>
          <w:szCs w:val="24"/>
        </w:rPr>
      </w:pPr>
      <w:r>
        <w:rPr>
          <w:color w:val="auto"/>
        </w:rPr>
        <w:drawing>
          <wp:inline distT="0" distB="0" distL="114300" distR="114300">
            <wp:extent cx="1846580" cy="4104005"/>
            <wp:effectExtent l="0" t="0" r="12700" b="1079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color w:val="auto"/>
          <w:sz w:val="24"/>
          <w:szCs w:val="24"/>
        </w:rPr>
        <w:t xml:space="preserve"> </w:t>
      </w:r>
      <w:r>
        <w:rPr>
          <w:color w:val="auto"/>
        </w:rPr>
        <w:drawing>
          <wp:inline distT="0" distB="0" distL="114300" distR="114300">
            <wp:extent cx="1846580" cy="4104005"/>
            <wp:effectExtent l="0" t="0" r="12700" b="1079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color w:val="auto"/>
          <w:sz w:val="24"/>
          <w:szCs w:val="24"/>
        </w:rPr>
        <w:t xml:space="preserve"> </w:t>
      </w:r>
      <w:r>
        <w:rPr>
          <w:rFonts w:hint="eastAsia" w:ascii="仿宋" w:hAnsi="仿宋" w:eastAsia="仿宋"/>
          <w:color w:val="auto"/>
          <w:sz w:val="24"/>
          <w:szCs w:val="24"/>
        </w:rPr>
        <w:t xml:space="preserve"> </w:t>
      </w:r>
      <w:r>
        <w:rPr>
          <w:rFonts w:ascii="仿宋" w:hAnsi="仿宋" w:eastAsia="仿宋"/>
          <w:color w:val="auto"/>
          <w:sz w:val="24"/>
          <w:szCs w:val="24"/>
        </w:rPr>
        <w:drawing>
          <wp:inline distT="0" distB="0" distL="114300" distR="114300">
            <wp:extent cx="1846580" cy="4104005"/>
            <wp:effectExtent l="0" t="0" r="12700" b="10795"/>
            <wp:docPr id="21" name="图片 21" descr="20221122170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2211221709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color w:val="auto"/>
          <w:sz w:val="24"/>
          <w:szCs w:val="24"/>
        </w:rPr>
        <w:t xml:space="preserve"> </w:t>
      </w:r>
    </w:p>
    <w:p w14:paraId="699E6C31">
      <w:pPr>
        <w:spacing w:line="360" w:lineRule="auto"/>
        <w:ind w:firstLine="480" w:firstLineChars="20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 xml:space="preserve"> </w:t>
      </w:r>
      <w:r>
        <w:rPr>
          <w:rFonts w:ascii="仿宋" w:hAnsi="仿宋" w:eastAsia="仿宋"/>
          <w:color w:val="auto"/>
          <w:sz w:val="24"/>
          <w:szCs w:val="24"/>
        </w:rPr>
        <w:t xml:space="preserve">          </w:t>
      </w:r>
      <w:r>
        <w:rPr>
          <w:rFonts w:hint="eastAsia" w:ascii="仿宋" w:hAnsi="仿宋" w:eastAsia="仿宋"/>
          <w:color w:val="auto"/>
          <w:sz w:val="24"/>
          <w:szCs w:val="24"/>
        </w:rPr>
        <w:t>图1</w:t>
      </w:r>
      <w:r>
        <w:rPr>
          <w:rFonts w:ascii="仿宋" w:hAnsi="仿宋" w:eastAsia="仿宋"/>
          <w:color w:val="auto"/>
          <w:sz w:val="24"/>
          <w:szCs w:val="24"/>
        </w:rPr>
        <w:t xml:space="preserve">                       </w:t>
      </w:r>
      <w:r>
        <w:rPr>
          <w:rFonts w:hint="eastAsia" w:ascii="仿宋" w:hAnsi="仿宋" w:eastAsia="仿宋"/>
          <w:color w:val="auto"/>
          <w:sz w:val="24"/>
          <w:szCs w:val="24"/>
        </w:rPr>
        <w:t>图2</w:t>
      </w:r>
      <w:r>
        <w:rPr>
          <w:rFonts w:ascii="仿宋" w:hAnsi="仿宋" w:eastAsia="仿宋"/>
          <w:color w:val="auto"/>
          <w:sz w:val="24"/>
          <w:szCs w:val="24"/>
        </w:rPr>
        <w:t xml:space="preserve">                      </w:t>
      </w:r>
      <w:r>
        <w:rPr>
          <w:rFonts w:hint="eastAsia" w:ascii="仿宋" w:hAnsi="仿宋" w:eastAsia="仿宋"/>
          <w:color w:val="auto"/>
          <w:sz w:val="24"/>
          <w:szCs w:val="24"/>
        </w:rPr>
        <w:t xml:space="preserve">图3 </w:t>
      </w:r>
    </w:p>
    <w:p w14:paraId="7DA97B33">
      <w:pPr>
        <w:spacing w:line="360" w:lineRule="auto"/>
        <w:ind w:firstLine="420" w:firstLineChars="200"/>
        <w:rPr>
          <w:rFonts w:hint="eastAsia" w:eastAsiaTheme="minorEastAsia"/>
          <w:color w:val="auto"/>
          <w:lang w:eastAsia="zh-CN"/>
        </w:rPr>
      </w:pPr>
      <w:r>
        <w:rPr>
          <w:color w:val="auto"/>
        </w:rPr>
        <w:t xml:space="preserve"> </w:t>
      </w:r>
      <w:r>
        <w:rPr>
          <w:rFonts w:hint="eastAsia"/>
          <w:color w:val="auto"/>
        </w:rPr>
        <w:t xml:space="preserve">    </w:t>
      </w: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2411095" cy="4120515"/>
            <wp:effectExtent l="0" t="0" r="12065" b="9525"/>
            <wp:docPr id="1" name="图片 1" descr="微信图片_2025-08-25_131707_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-08-25_131707_88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412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8524E">
      <w:pPr>
        <w:spacing w:line="360" w:lineRule="auto"/>
        <w:ind w:firstLine="420" w:firstLineChars="20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/>
          <w:color w:val="auto"/>
        </w:rPr>
        <w:t xml:space="preserve"> </w:t>
      </w:r>
      <w:r>
        <w:rPr>
          <w:color w:val="auto"/>
        </w:rPr>
        <w:t xml:space="preserve"> </w:t>
      </w:r>
      <w:r>
        <w:rPr>
          <w:rFonts w:ascii="仿宋" w:hAnsi="仿宋" w:eastAsia="仿宋"/>
          <w:color w:val="auto"/>
          <w:sz w:val="24"/>
          <w:szCs w:val="24"/>
        </w:rPr>
        <w:t xml:space="preserve">        </w:t>
      </w:r>
      <w:r>
        <w:rPr>
          <w:rFonts w:hint="eastAsia" w:ascii="仿宋" w:hAnsi="仿宋" w:eastAsia="仿宋"/>
          <w:color w:val="auto"/>
          <w:sz w:val="24"/>
          <w:szCs w:val="24"/>
        </w:rPr>
        <w:t xml:space="preserve">   </w:t>
      </w:r>
      <w:r>
        <w:rPr>
          <w:rFonts w:ascii="仿宋" w:hAnsi="仿宋" w:eastAsia="仿宋"/>
          <w:color w:val="auto"/>
          <w:sz w:val="24"/>
          <w:szCs w:val="24"/>
        </w:rPr>
        <w:t xml:space="preserve"> </w:t>
      </w:r>
      <w:r>
        <w:rPr>
          <w:rFonts w:hint="eastAsia" w:ascii="仿宋" w:hAnsi="仿宋" w:eastAsia="仿宋"/>
          <w:color w:val="auto"/>
          <w:sz w:val="24"/>
          <w:szCs w:val="24"/>
        </w:rPr>
        <w:t>图4</w:t>
      </w:r>
      <w:r>
        <w:rPr>
          <w:rFonts w:ascii="仿宋" w:hAnsi="仿宋" w:eastAsia="仿宋"/>
          <w:color w:val="auto"/>
          <w:sz w:val="24"/>
          <w:szCs w:val="24"/>
        </w:rPr>
        <w:t xml:space="preserve">          </w:t>
      </w:r>
      <w:r>
        <w:rPr>
          <w:rFonts w:hint="eastAsia" w:ascii="仿宋" w:hAnsi="仿宋" w:eastAsia="仿宋"/>
          <w:color w:val="auto"/>
          <w:sz w:val="24"/>
          <w:szCs w:val="24"/>
        </w:rPr>
        <w:t xml:space="preserve">  </w:t>
      </w:r>
      <w:r>
        <w:rPr>
          <w:rFonts w:ascii="仿宋" w:hAnsi="仿宋" w:eastAsia="仿宋"/>
          <w:color w:val="auto"/>
          <w:sz w:val="24"/>
          <w:szCs w:val="24"/>
        </w:rPr>
        <w:t xml:space="preserve">         </w:t>
      </w:r>
    </w:p>
    <w:p w14:paraId="10AA6111">
      <w:pPr>
        <w:pStyle w:val="3"/>
        <w:numPr>
          <w:ilvl w:val="1"/>
          <w:numId w:val="1"/>
        </w:numPr>
        <w:rPr>
          <w:color w:val="auto"/>
        </w:rPr>
      </w:pPr>
      <w:r>
        <w:rPr>
          <w:rFonts w:hint="eastAsia"/>
          <w:color w:val="auto"/>
        </w:rPr>
        <w:t>搜索框搜索学校名称</w:t>
      </w:r>
    </w:p>
    <w:p w14:paraId="735A7DC6">
      <w:pPr>
        <w:spacing w:line="360" w:lineRule="auto"/>
        <w:ind w:firstLine="480" w:firstLineChars="20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>（1）学生登录“随申办市民云App</w:t>
      </w:r>
      <w:r>
        <w:rPr>
          <w:rFonts w:ascii="仿宋" w:hAnsi="仿宋" w:eastAsia="仿宋"/>
          <w:color w:val="auto"/>
          <w:sz w:val="24"/>
          <w:szCs w:val="24"/>
        </w:rPr>
        <w:t>”</w:t>
      </w:r>
      <w:r>
        <w:rPr>
          <w:rFonts w:hint="eastAsia" w:ascii="仿宋" w:hAnsi="仿宋" w:eastAsia="仿宋"/>
          <w:color w:val="auto"/>
          <w:sz w:val="24"/>
          <w:szCs w:val="24"/>
        </w:rPr>
        <w:t>后，在随申办首页点击搜索框，如图5；</w:t>
      </w:r>
    </w:p>
    <w:p w14:paraId="71980266">
      <w:pPr>
        <w:spacing w:line="360" w:lineRule="auto"/>
        <w:ind w:firstLine="480" w:firstLineChars="20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>（2）在“搜索框”输入“上海电力大学”，如图6；</w:t>
      </w:r>
    </w:p>
    <w:p w14:paraId="6FA0EB6D">
      <w:pPr>
        <w:spacing w:line="360" w:lineRule="auto"/>
        <w:ind w:firstLine="480" w:firstLineChars="20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>（3）查询结果栏，点击“上海电力大学学费缴纳”，即可进入上海电力大学学生缴费门户。如图7，图4；</w:t>
      </w:r>
    </w:p>
    <w:p w14:paraId="0B74B5DA">
      <w:pPr>
        <w:rPr>
          <w:color w:val="auto"/>
        </w:rPr>
      </w:pPr>
    </w:p>
    <w:p w14:paraId="17712C69">
      <w:pPr>
        <w:spacing w:line="360" w:lineRule="auto"/>
        <w:ind w:firstLine="420" w:firstLineChars="200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1846580" cy="4104005"/>
            <wp:effectExtent l="0" t="0" r="12700" b="10795"/>
            <wp:docPr id="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</w:rPr>
        <w:t xml:space="preserve">  </w:t>
      </w:r>
      <w:r>
        <w:rPr>
          <w:color w:val="auto"/>
        </w:rPr>
        <w:drawing>
          <wp:inline distT="0" distB="0" distL="114300" distR="114300">
            <wp:extent cx="1846580" cy="4104005"/>
            <wp:effectExtent l="0" t="0" r="12700" b="10795"/>
            <wp:docPr id="3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</w:rPr>
        <w:t xml:space="preserve">  </w:t>
      </w:r>
      <w:r>
        <w:rPr>
          <w:color w:val="auto"/>
        </w:rPr>
        <w:drawing>
          <wp:inline distT="0" distB="0" distL="114300" distR="114300">
            <wp:extent cx="1846580" cy="4104005"/>
            <wp:effectExtent l="0" t="0" r="12700" b="10795"/>
            <wp:docPr id="3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1852B">
      <w:pPr>
        <w:spacing w:line="360" w:lineRule="auto"/>
        <w:ind w:firstLine="420" w:firstLineChars="200"/>
        <w:rPr>
          <w:rFonts w:eastAsia="仿宋"/>
          <w:color w:val="auto"/>
        </w:rPr>
      </w:pPr>
      <w:r>
        <w:rPr>
          <w:rFonts w:hint="eastAsia"/>
          <w:color w:val="auto"/>
        </w:rPr>
        <w:t xml:space="preserve"> </w:t>
      </w:r>
      <w:r>
        <w:rPr>
          <w:color w:val="auto"/>
        </w:rPr>
        <w:t xml:space="preserve"> </w:t>
      </w:r>
      <w:r>
        <w:rPr>
          <w:rFonts w:ascii="仿宋" w:hAnsi="仿宋" w:eastAsia="仿宋"/>
          <w:color w:val="auto"/>
          <w:sz w:val="24"/>
          <w:szCs w:val="24"/>
        </w:rPr>
        <w:t xml:space="preserve">         </w:t>
      </w:r>
      <w:r>
        <w:rPr>
          <w:rFonts w:hint="eastAsia" w:ascii="仿宋" w:hAnsi="仿宋" w:eastAsia="仿宋"/>
          <w:color w:val="auto"/>
          <w:sz w:val="24"/>
          <w:szCs w:val="24"/>
        </w:rPr>
        <w:t>图5</w:t>
      </w:r>
      <w:r>
        <w:rPr>
          <w:rFonts w:ascii="仿宋" w:hAnsi="仿宋" w:eastAsia="仿宋"/>
          <w:color w:val="auto"/>
          <w:sz w:val="24"/>
          <w:szCs w:val="24"/>
        </w:rPr>
        <w:t xml:space="preserve">  </w:t>
      </w:r>
      <w:r>
        <w:rPr>
          <w:rFonts w:hint="eastAsia" w:ascii="仿宋" w:hAnsi="仿宋" w:eastAsia="仿宋"/>
          <w:color w:val="auto"/>
          <w:sz w:val="24"/>
          <w:szCs w:val="24"/>
        </w:rPr>
        <w:t xml:space="preserve">                   图6                      图7</w:t>
      </w:r>
    </w:p>
    <w:p w14:paraId="7A1EB855">
      <w:pPr>
        <w:pStyle w:val="3"/>
        <w:numPr>
          <w:ilvl w:val="1"/>
          <w:numId w:val="1"/>
        </w:numPr>
        <w:rPr>
          <w:color w:val="auto"/>
        </w:rPr>
      </w:pPr>
      <w:r>
        <w:rPr>
          <w:rFonts w:hint="eastAsia"/>
          <w:color w:val="auto"/>
        </w:rPr>
        <w:t>扫描二维码进入</w:t>
      </w:r>
    </w:p>
    <w:p w14:paraId="07927C82">
      <w:pPr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3492500" cy="3492500"/>
            <wp:effectExtent l="0" t="0" r="12700" b="12700"/>
            <wp:docPr id="32" name="图片 32" descr="fa7e2d4a2e3cc99162518427425ed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fa7e2d4a2e3cc99162518427425edd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F42CC">
      <w:pPr>
        <w:spacing w:line="360" w:lineRule="auto"/>
        <w:ind w:firstLine="480" w:firstLineChars="20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>（1）.使用“随申办市民云App”，“支付宝”，“微信”扫描图中二维码进入缴费页面</w:t>
      </w:r>
    </w:p>
    <w:p w14:paraId="59724F18">
      <w:pPr>
        <w:rPr>
          <w:color w:val="auto"/>
        </w:rPr>
      </w:pPr>
    </w:p>
    <w:p w14:paraId="11513466">
      <w:pPr>
        <w:rPr>
          <w:color w:val="auto"/>
        </w:rPr>
      </w:pPr>
      <w:r>
        <w:rPr>
          <w:rFonts w:hint="eastAsia"/>
          <w:color w:val="auto"/>
        </w:rPr>
        <w:t xml:space="preserve">     </w:t>
      </w:r>
    </w:p>
    <w:p w14:paraId="7353D703">
      <w:pPr>
        <w:pStyle w:val="2"/>
        <w:rPr>
          <w:color w:val="auto"/>
        </w:rPr>
      </w:pPr>
      <w:r>
        <w:rPr>
          <w:rFonts w:hint="eastAsia"/>
          <w:color w:val="auto"/>
        </w:rPr>
        <w:t>二、学生缴费操作</w:t>
      </w:r>
    </w:p>
    <w:p w14:paraId="726C8380">
      <w:pPr>
        <w:spacing w:line="360" w:lineRule="auto"/>
        <w:ind w:firstLine="480" w:firstLineChars="20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>（1）学生在“收费批次”中浏览本人待缴费内容后，选择一个批次，如图8；</w:t>
      </w:r>
    </w:p>
    <w:p w14:paraId="47FDB79E">
      <w:pPr>
        <w:spacing w:line="360" w:lineRule="auto"/>
        <w:ind w:firstLine="480" w:firstLineChars="20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>（2）学生确认缴费金额点击支付后，进入公共支付平台支付界面，如图9；</w:t>
      </w:r>
    </w:p>
    <w:p w14:paraId="6B79F473">
      <w:pPr>
        <w:spacing w:line="360" w:lineRule="auto"/>
        <w:ind w:firstLine="480" w:firstLineChars="20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>（3）学生在公共支付平台支付界面上，选择支付宝、微信、银联进行支付。</w:t>
      </w:r>
    </w:p>
    <w:p w14:paraId="40A3C7A1">
      <w:pPr>
        <w:spacing w:line="360" w:lineRule="auto"/>
        <w:rPr>
          <w:rFonts w:ascii="仿宋" w:hAnsi="仿宋" w:eastAsia="仿宋"/>
          <w:color w:val="auto"/>
          <w:sz w:val="24"/>
          <w:szCs w:val="24"/>
        </w:rPr>
      </w:pPr>
    </w:p>
    <w:p w14:paraId="662E3C09">
      <w:pPr>
        <w:spacing w:line="360" w:lineRule="auto"/>
        <w:rPr>
          <w:rFonts w:ascii="仿宋" w:hAnsi="仿宋" w:eastAsia="仿宋"/>
          <w:color w:val="auto"/>
          <w:sz w:val="24"/>
          <w:szCs w:val="24"/>
        </w:rPr>
      </w:pPr>
      <w:r>
        <w:rPr>
          <w:color w:val="auto"/>
        </w:rPr>
        <w:drawing>
          <wp:inline distT="0" distB="0" distL="114300" distR="114300">
            <wp:extent cx="1846580" cy="4104005"/>
            <wp:effectExtent l="0" t="0" r="12700" b="10795"/>
            <wp:docPr id="3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color w:val="auto"/>
          <w:sz w:val="24"/>
          <w:szCs w:val="24"/>
        </w:rPr>
        <w:t xml:space="preserve"> </w:t>
      </w:r>
      <w:r>
        <w:rPr>
          <w:rFonts w:ascii="仿宋" w:hAnsi="仿宋" w:eastAsia="仿宋"/>
          <w:color w:val="auto"/>
          <w:sz w:val="24"/>
          <w:szCs w:val="24"/>
        </w:rPr>
        <w:t xml:space="preserve"> </w:t>
      </w:r>
      <w:r>
        <w:rPr>
          <w:color w:val="auto"/>
        </w:rPr>
        <w:drawing>
          <wp:inline distT="0" distB="0" distL="114300" distR="114300">
            <wp:extent cx="1846580" cy="4104005"/>
            <wp:effectExtent l="0" t="0" r="12700" b="10795"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2093A">
      <w:pPr>
        <w:spacing w:line="360" w:lineRule="auto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 xml:space="preserve"> </w:t>
      </w:r>
      <w:r>
        <w:rPr>
          <w:rFonts w:ascii="仿宋" w:hAnsi="仿宋" w:eastAsia="仿宋"/>
          <w:color w:val="auto"/>
          <w:sz w:val="24"/>
          <w:szCs w:val="24"/>
        </w:rPr>
        <w:t xml:space="preserve">         </w:t>
      </w:r>
      <w:r>
        <w:rPr>
          <w:rFonts w:hint="eastAsia" w:ascii="仿宋" w:hAnsi="仿宋" w:eastAsia="仿宋"/>
          <w:color w:val="auto"/>
          <w:sz w:val="24"/>
          <w:szCs w:val="24"/>
        </w:rPr>
        <w:t>图8</w:t>
      </w:r>
      <w:r>
        <w:rPr>
          <w:rFonts w:ascii="仿宋" w:hAnsi="仿宋" w:eastAsia="仿宋"/>
          <w:color w:val="auto"/>
          <w:sz w:val="24"/>
          <w:szCs w:val="24"/>
        </w:rPr>
        <w:t xml:space="preserve">           </w:t>
      </w:r>
      <w:r>
        <w:rPr>
          <w:rFonts w:hint="eastAsia" w:ascii="仿宋" w:hAnsi="仿宋" w:eastAsia="仿宋"/>
          <w:color w:val="auto"/>
          <w:sz w:val="24"/>
          <w:szCs w:val="24"/>
        </w:rPr>
        <w:t xml:space="preserve">  </w:t>
      </w:r>
      <w:r>
        <w:rPr>
          <w:rFonts w:ascii="仿宋" w:hAnsi="仿宋" w:eastAsia="仿宋"/>
          <w:color w:val="auto"/>
          <w:sz w:val="24"/>
          <w:szCs w:val="24"/>
        </w:rPr>
        <w:t xml:space="preserve">          </w:t>
      </w:r>
      <w:r>
        <w:rPr>
          <w:rFonts w:hint="eastAsia" w:ascii="仿宋" w:hAnsi="仿宋" w:eastAsia="仿宋"/>
          <w:color w:val="auto"/>
          <w:sz w:val="24"/>
          <w:szCs w:val="24"/>
        </w:rPr>
        <w:t>图9</w:t>
      </w:r>
    </w:p>
    <w:p w14:paraId="2CE8B563">
      <w:pPr>
        <w:spacing w:line="360" w:lineRule="auto"/>
        <w:rPr>
          <w:rFonts w:ascii="仿宋" w:hAnsi="仿宋" w:eastAsia="仿宋"/>
          <w:b/>
          <w:bCs/>
          <w:color w:val="auto"/>
          <w:sz w:val="24"/>
          <w:szCs w:val="24"/>
        </w:rPr>
      </w:pPr>
    </w:p>
    <w:p w14:paraId="76835D18">
      <w:pPr>
        <w:pStyle w:val="2"/>
        <w:rPr>
          <w:color w:val="auto"/>
        </w:rPr>
      </w:pPr>
      <w:r>
        <w:rPr>
          <w:rFonts w:hint="eastAsia"/>
          <w:color w:val="auto"/>
        </w:rPr>
        <w:t>三、学生缴费查询</w:t>
      </w:r>
    </w:p>
    <w:p w14:paraId="28976286">
      <w:pPr>
        <w:spacing w:line="360" w:lineRule="auto"/>
        <w:ind w:firstLine="480" w:firstLineChars="20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>（1）学生缴费后，可在“缴费记录”中，查询成功支付记录，如图10；</w:t>
      </w:r>
    </w:p>
    <w:p w14:paraId="52AB6B72">
      <w:pPr>
        <w:spacing w:line="360" w:lineRule="auto"/>
        <w:ind w:firstLine="480" w:firstLineChars="20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>（2）可在“缴费记录”中，查询缴费详情，如图11；</w:t>
      </w:r>
    </w:p>
    <w:p w14:paraId="1545DA2B">
      <w:pPr>
        <w:spacing w:line="360" w:lineRule="auto"/>
        <w:ind w:firstLine="480" w:firstLineChars="200"/>
        <w:rPr>
          <w:rFonts w:ascii="仿宋" w:hAnsi="仿宋" w:eastAsia="仿宋"/>
          <w:color w:val="auto"/>
          <w:sz w:val="24"/>
          <w:szCs w:val="24"/>
        </w:rPr>
      </w:pPr>
    </w:p>
    <w:p w14:paraId="33CF70B9">
      <w:pPr>
        <w:spacing w:line="360" w:lineRule="auto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 xml:space="preserve"> </w:t>
      </w:r>
      <w:r>
        <w:rPr>
          <w:color w:val="auto"/>
        </w:rPr>
        <w:drawing>
          <wp:inline distT="0" distB="0" distL="114300" distR="114300">
            <wp:extent cx="1846580" cy="4104005"/>
            <wp:effectExtent l="0" t="0" r="12700" b="10795"/>
            <wp:docPr id="3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</w:rPr>
        <w:t xml:space="preserve">  </w:t>
      </w:r>
      <w:r>
        <w:rPr>
          <w:color w:val="auto"/>
        </w:rPr>
        <w:drawing>
          <wp:inline distT="0" distB="0" distL="114300" distR="114300">
            <wp:extent cx="1846580" cy="4104005"/>
            <wp:effectExtent l="0" t="0" r="12700" b="10795"/>
            <wp:docPr id="3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43F86">
      <w:pPr>
        <w:spacing w:line="360" w:lineRule="auto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 xml:space="preserve"> </w:t>
      </w:r>
      <w:r>
        <w:rPr>
          <w:rFonts w:ascii="仿宋" w:hAnsi="仿宋" w:eastAsia="仿宋"/>
          <w:color w:val="auto"/>
          <w:sz w:val="24"/>
          <w:szCs w:val="24"/>
        </w:rPr>
        <w:t xml:space="preserve">         </w:t>
      </w:r>
      <w:r>
        <w:rPr>
          <w:rFonts w:hint="eastAsia" w:ascii="仿宋" w:hAnsi="仿宋" w:eastAsia="仿宋"/>
          <w:color w:val="auto"/>
          <w:sz w:val="24"/>
          <w:szCs w:val="24"/>
        </w:rPr>
        <w:t>图10                       图11</w:t>
      </w:r>
    </w:p>
    <w:p w14:paraId="61A5DB1C">
      <w:pPr>
        <w:spacing w:line="360" w:lineRule="auto"/>
        <w:rPr>
          <w:rFonts w:ascii="仿宋" w:hAnsi="仿宋" w:eastAsia="仿宋"/>
          <w:color w:val="auto"/>
          <w:sz w:val="24"/>
          <w:szCs w:val="24"/>
        </w:rPr>
      </w:pPr>
    </w:p>
    <w:p w14:paraId="32D39C70">
      <w:pPr>
        <w:pStyle w:val="2"/>
        <w:rPr>
          <w:color w:val="auto"/>
        </w:rPr>
      </w:pPr>
      <w:r>
        <w:rPr>
          <w:rFonts w:hint="eastAsia"/>
          <w:color w:val="auto"/>
        </w:rPr>
        <w:t>四、学生票据查询</w:t>
      </w:r>
    </w:p>
    <w:p w14:paraId="7B25314D">
      <w:pPr>
        <w:spacing w:line="360" w:lineRule="auto"/>
        <w:ind w:firstLine="480" w:firstLineChars="20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>（1）学校填开票据后，学生可在“票据查询”中，查询电子票据记录，如图12；</w:t>
      </w:r>
    </w:p>
    <w:p w14:paraId="5CE15527">
      <w:pPr>
        <w:spacing w:line="360" w:lineRule="auto"/>
        <w:ind w:firstLine="480" w:firstLineChars="20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>（2）学生点击“票据预览”，在线查看票据信息，如图13；</w:t>
      </w:r>
    </w:p>
    <w:p w14:paraId="4B8C8E83">
      <w:pPr>
        <w:spacing w:line="360" w:lineRule="auto"/>
        <w:ind w:firstLine="480" w:firstLineChars="20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>（3）学生点击“发送邮箱”，可自行输入邮箱地址后，获取电子票据邮件，如图14；</w:t>
      </w:r>
    </w:p>
    <w:p w14:paraId="6A440D28">
      <w:pPr>
        <w:spacing w:line="360" w:lineRule="auto"/>
        <w:rPr>
          <w:rFonts w:ascii="仿宋" w:hAnsi="仿宋" w:eastAsia="仿宋"/>
          <w:color w:val="auto"/>
          <w:sz w:val="24"/>
          <w:szCs w:val="24"/>
        </w:rPr>
      </w:pPr>
      <w:r>
        <w:rPr>
          <w:color w:val="auto"/>
        </w:rPr>
        <w:drawing>
          <wp:inline distT="0" distB="0" distL="114300" distR="114300">
            <wp:extent cx="1846580" cy="4104005"/>
            <wp:effectExtent l="0" t="0" r="12700" b="10795"/>
            <wp:docPr id="3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color w:val="auto"/>
          <w:sz w:val="24"/>
          <w:szCs w:val="24"/>
        </w:rPr>
        <w:t xml:space="preserve">   </w:t>
      </w:r>
      <w:r>
        <w:rPr>
          <w:color w:val="auto"/>
        </w:rPr>
        <w:drawing>
          <wp:inline distT="0" distB="0" distL="114300" distR="114300">
            <wp:extent cx="1846580" cy="4104005"/>
            <wp:effectExtent l="0" t="0" r="12700" b="10795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color w:val="auto"/>
          <w:sz w:val="24"/>
          <w:szCs w:val="24"/>
        </w:rPr>
        <w:t xml:space="preserve"> </w:t>
      </w:r>
      <w:r>
        <w:rPr>
          <w:rFonts w:hint="eastAsia" w:ascii="仿宋" w:hAnsi="仿宋" w:eastAsia="仿宋"/>
          <w:color w:val="auto"/>
          <w:sz w:val="24"/>
          <w:szCs w:val="24"/>
        </w:rPr>
        <w:t xml:space="preserve">  </w:t>
      </w:r>
      <w:r>
        <w:rPr>
          <w:color w:val="auto"/>
        </w:rPr>
        <w:drawing>
          <wp:inline distT="0" distB="0" distL="114300" distR="114300">
            <wp:extent cx="1846580" cy="4104005"/>
            <wp:effectExtent l="0" t="0" r="12700" b="10795"/>
            <wp:docPr id="3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9A201">
      <w:pPr>
        <w:spacing w:line="360" w:lineRule="auto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 xml:space="preserve"> </w:t>
      </w:r>
      <w:r>
        <w:rPr>
          <w:rFonts w:ascii="仿宋" w:hAnsi="仿宋" w:eastAsia="仿宋"/>
          <w:color w:val="auto"/>
          <w:sz w:val="24"/>
          <w:szCs w:val="24"/>
        </w:rPr>
        <w:t xml:space="preserve">          </w:t>
      </w:r>
      <w:r>
        <w:rPr>
          <w:rFonts w:hint="eastAsia" w:ascii="仿宋" w:hAnsi="仿宋" w:eastAsia="仿宋"/>
          <w:color w:val="auto"/>
          <w:sz w:val="24"/>
          <w:szCs w:val="24"/>
        </w:rPr>
        <w:t>图12</w:t>
      </w:r>
      <w:r>
        <w:rPr>
          <w:rFonts w:ascii="仿宋" w:hAnsi="仿宋" w:eastAsia="仿宋"/>
          <w:color w:val="auto"/>
          <w:sz w:val="24"/>
          <w:szCs w:val="24"/>
        </w:rPr>
        <w:t xml:space="preserve">                     </w:t>
      </w:r>
      <w:r>
        <w:rPr>
          <w:rFonts w:hint="eastAsia" w:ascii="仿宋" w:hAnsi="仿宋" w:eastAsia="仿宋"/>
          <w:color w:val="auto"/>
          <w:sz w:val="24"/>
          <w:szCs w:val="24"/>
        </w:rPr>
        <w:t>图13</w:t>
      </w:r>
      <w:r>
        <w:rPr>
          <w:rFonts w:ascii="仿宋" w:hAnsi="仿宋" w:eastAsia="仿宋"/>
          <w:color w:val="auto"/>
          <w:sz w:val="24"/>
          <w:szCs w:val="24"/>
        </w:rPr>
        <w:t xml:space="preserve">               </w:t>
      </w:r>
      <w:r>
        <w:rPr>
          <w:rFonts w:hint="eastAsia" w:ascii="仿宋" w:hAnsi="仿宋" w:eastAsia="仿宋"/>
          <w:color w:val="auto"/>
          <w:sz w:val="24"/>
          <w:szCs w:val="24"/>
        </w:rPr>
        <w:t xml:space="preserve">    </w:t>
      </w:r>
      <w:r>
        <w:rPr>
          <w:rFonts w:ascii="仿宋" w:hAnsi="仿宋" w:eastAsia="仿宋"/>
          <w:color w:val="auto"/>
          <w:sz w:val="24"/>
          <w:szCs w:val="24"/>
        </w:rPr>
        <w:t xml:space="preserve">    </w:t>
      </w:r>
      <w:r>
        <w:rPr>
          <w:rFonts w:hint="eastAsia" w:ascii="仿宋" w:hAnsi="仿宋" w:eastAsia="仿宋"/>
          <w:color w:val="auto"/>
          <w:sz w:val="24"/>
          <w:szCs w:val="24"/>
        </w:rPr>
        <w:t>图14</w:t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PMingLiU">
    <w:altName w:val="PMingLiU-ExtB"/>
    <w:panose1 w:val="02020500000000000000"/>
    <w:charset w:val="88"/>
    <w:family w:val="auto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叶根友毛笔行书简体">
    <w:altName w:val="等线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3851033"/>
    <w:multiLevelType w:val="multilevel"/>
    <w:tmpl w:val="3385103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k4N2Q3YTcwYTg2MDY3NTJiNGJmODA3ZDY2MDFhMzIifQ=="/>
  </w:docVars>
  <w:rsids>
    <w:rsidRoot w:val="00DD3F34"/>
    <w:rsid w:val="00024F24"/>
    <w:rsid w:val="00031A52"/>
    <w:rsid w:val="00036AC3"/>
    <w:rsid w:val="00044AEA"/>
    <w:rsid w:val="0006046D"/>
    <w:rsid w:val="000B1979"/>
    <w:rsid w:val="000C760C"/>
    <w:rsid w:val="0010473A"/>
    <w:rsid w:val="0012489A"/>
    <w:rsid w:val="00167D24"/>
    <w:rsid w:val="00167E09"/>
    <w:rsid w:val="00170702"/>
    <w:rsid w:val="00171FB3"/>
    <w:rsid w:val="001A01C4"/>
    <w:rsid w:val="001A7FA9"/>
    <w:rsid w:val="00200044"/>
    <w:rsid w:val="002050AC"/>
    <w:rsid w:val="00215EE5"/>
    <w:rsid w:val="00234514"/>
    <w:rsid w:val="00243BFE"/>
    <w:rsid w:val="00255CCC"/>
    <w:rsid w:val="002C37E4"/>
    <w:rsid w:val="002C3CE3"/>
    <w:rsid w:val="002D727D"/>
    <w:rsid w:val="00312D05"/>
    <w:rsid w:val="003C6902"/>
    <w:rsid w:val="003E03F4"/>
    <w:rsid w:val="00402A36"/>
    <w:rsid w:val="00412089"/>
    <w:rsid w:val="00430456"/>
    <w:rsid w:val="00442120"/>
    <w:rsid w:val="00474F1D"/>
    <w:rsid w:val="00480CF1"/>
    <w:rsid w:val="00484BE0"/>
    <w:rsid w:val="004C05A6"/>
    <w:rsid w:val="004D38F9"/>
    <w:rsid w:val="00514D4B"/>
    <w:rsid w:val="00551B8D"/>
    <w:rsid w:val="00594305"/>
    <w:rsid w:val="005A1353"/>
    <w:rsid w:val="005A46D9"/>
    <w:rsid w:val="005D05D4"/>
    <w:rsid w:val="005D3E0D"/>
    <w:rsid w:val="005D4777"/>
    <w:rsid w:val="006375CA"/>
    <w:rsid w:val="00654954"/>
    <w:rsid w:val="00691AC8"/>
    <w:rsid w:val="006B0615"/>
    <w:rsid w:val="006B228F"/>
    <w:rsid w:val="006B4CCF"/>
    <w:rsid w:val="006B5F86"/>
    <w:rsid w:val="00707660"/>
    <w:rsid w:val="007729AC"/>
    <w:rsid w:val="007B3B4C"/>
    <w:rsid w:val="007C2227"/>
    <w:rsid w:val="007E2744"/>
    <w:rsid w:val="007E7F2D"/>
    <w:rsid w:val="007F6DC6"/>
    <w:rsid w:val="00813138"/>
    <w:rsid w:val="008341D9"/>
    <w:rsid w:val="00867317"/>
    <w:rsid w:val="008B59B8"/>
    <w:rsid w:val="008E6B04"/>
    <w:rsid w:val="00910694"/>
    <w:rsid w:val="0091511E"/>
    <w:rsid w:val="009227C9"/>
    <w:rsid w:val="00940C32"/>
    <w:rsid w:val="009431DE"/>
    <w:rsid w:val="009578C6"/>
    <w:rsid w:val="00960CAB"/>
    <w:rsid w:val="009969D4"/>
    <w:rsid w:val="009E76F1"/>
    <w:rsid w:val="00A27930"/>
    <w:rsid w:val="00A36A78"/>
    <w:rsid w:val="00A668ED"/>
    <w:rsid w:val="00A967B4"/>
    <w:rsid w:val="00AB6609"/>
    <w:rsid w:val="00AD222D"/>
    <w:rsid w:val="00AF7E38"/>
    <w:rsid w:val="00B35EC3"/>
    <w:rsid w:val="00B6393E"/>
    <w:rsid w:val="00B9747B"/>
    <w:rsid w:val="00C139BA"/>
    <w:rsid w:val="00C227D1"/>
    <w:rsid w:val="00C3113D"/>
    <w:rsid w:val="00C53503"/>
    <w:rsid w:val="00C54CB8"/>
    <w:rsid w:val="00C6277D"/>
    <w:rsid w:val="00C659D9"/>
    <w:rsid w:val="00C95D0A"/>
    <w:rsid w:val="00CE2E56"/>
    <w:rsid w:val="00D021FB"/>
    <w:rsid w:val="00D45389"/>
    <w:rsid w:val="00D46363"/>
    <w:rsid w:val="00D5474C"/>
    <w:rsid w:val="00D84260"/>
    <w:rsid w:val="00DA5711"/>
    <w:rsid w:val="00DD3F34"/>
    <w:rsid w:val="00DE788E"/>
    <w:rsid w:val="00DF64F1"/>
    <w:rsid w:val="00E424A1"/>
    <w:rsid w:val="00E46C5D"/>
    <w:rsid w:val="00E650AE"/>
    <w:rsid w:val="00E7498C"/>
    <w:rsid w:val="00EF083A"/>
    <w:rsid w:val="00F21B97"/>
    <w:rsid w:val="00F406E4"/>
    <w:rsid w:val="00F5076E"/>
    <w:rsid w:val="00F61DAF"/>
    <w:rsid w:val="00F95480"/>
    <w:rsid w:val="00F97B84"/>
    <w:rsid w:val="00FB0F0A"/>
    <w:rsid w:val="00FF2E8A"/>
    <w:rsid w:val="07713581"/>
    <w:rsid w:val="0B8C3FEE"/>
    <w:rsid w:val="130B7EEE"/>
    <w:rsid w:val="16473933"/>
    <w:rsid w:val="16EA10E2"/>
    <w:rsid w:val="16FA56E1"/>
    <w:rsid w:val="172038A7"/>
    <w:rsid w:val="3A9B5788"/>
    <w:rsid w:val="4347171C"/>
    <w:rsid w:val="4A104367"/>
    <w:rsid w:val="4DD16EE5"/>
    <w:rsid w:val="571E62B6"/>
    <w:rsid w:val="757B557B"/>
    <w:rsid w:val="77B55B19"/>
    <w:rsid w:val="7B257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0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16"/>
    <w:semiHidden/>
    <w:unhideWhenUsed/>
    <w:qFormat/>
    <w:uiPriority w:val="99"/>
    <w:rPr>
      <w:rFonts w:ascii="宋体" w:eastAsia="宋体"/>
      <w:sz w:val="24"/>
      <w:szCs w:val="24"/>
    </w:rPr>
  </w:style>
  <w:style w:type="paragraph" w:styleId="5">
    <w:name w:val="Body Text"/>
    <w:basedOn w:val="1"/>
    <w:link w:val="13"/>
    <w:qFormat/>
    <w:uiPriority w:val="1"/>
    <w:pPr>
      <w:autoSpaceDE w:val="0"/>
      <w:autoSpaceDN w:val="0"/>
      <w:jc w:val="left"/>
    </w:pPr>
    <w:rPr>
      <w:rFonts w:ascii="PMingLiU" w:hAnsi="PMingLiU" w:eastAsia="PMingLiU" w:cs="PMingLiU"/>
      <w:kern w:val="0"/>
      <w:sz w:val="22"/>
      <w:lang w:eastAsia="en-US"/>
    </w:rPr>
  </w:style>
  <w:style w:type="paragraph" w:styleId="6">
    <w:name w:val="Date"/>
    <w:basedOn w:val="1"/>
    <w:next w:val="1"/>
    <w:link w:val="20"/>
    <w:semiHidden/>
    <w:unhideWhenUsed/>
    <w:qFormat/>
    <w:uiPriority w:val="99"/>
    <w:pPr>
      <w:ind w:left="100" w:leftChars="2500"/>
    </w:pPr>
  </w:style>
  <w:style w:type="paragraph" w:styleId="7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0">
    <w:name w:val="Table Grid"/>
    <w:basedOn w:val="9"/>
    <w:qFormat/>
    <w:uiPriority w:val="39"/>
    <w:rPr>
      <w:kern w:val="2"/>
      <w:sz w:val="24"/>
      <w:szCs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正文文本字符"/>
    <w:basedOn w:val="11"/>
    <w:link w:val="5"/>
    <w:qFormat/>
    <w:uiPriority w:val="1"/>
    <w:rPr>
      <w:rFonts w:ascii="PMingLiU" w:hAnsi="PMingLiU" w:eastAsia="PMingLiU" w:cs="PMingLiU"/>
      <w:sz w:val="22"/>
      <w:szCs w:val="22"/>
      <w:lang w:eastAsia="en-US"/>
    </w:rPr>
  </w:style>
  <w:style w:type="paragraph" w:customStyle="1" w:styleId="14">
    <w:name w:val="标题 11"/>
    <w:basedOn w:val="1"/>
    <w:qFormat/>
    <w:uiPriority w:val="1"/>
    <w:pPr>
      <w:autoSpaceDE w:val="0"/>
      <w:autoSpaceDN w:val="0"/>
      <w:ind w:left="530"/>
      <w:jc w:val="left"/>
      <w:outlineLvl w:val="1"/>
    </w:pPr>
    <w:rPr>
      <w:rFonts w:ascii="叶根友毛笔行书简体" w:hAnsi="叶根友毛笔行书简体" w:eastAsia="叶根友毛笔行书简体" w:cs="叶根友毛笔行书简体"/>
      <w:kern w:val="0"/>
      <w:sz w:val="44"/>
      <w:szCs w:val="44"/>
      <w:lang w:eastAsia="en-US"/>
    </w:rPr>
  </w:style>
  <w:style w:type="paragraph" w:customStyle="1" w:styleId="15">
    <w:name w:val="标题 31"/>
    <w:basedOn w:val="1"/>
    <w:qFormat/>
    <w:uiPriority w:val="1"/>
    <w:pPr>
      <w:autoSpaceDE w:val="0"/>
      <w:autoSpaceDN w:val="0"/>
      <w:spacing w:before="20"/>
      <w:ind w:left="577"/>
      <w:jc w:val="left"/>
      <w:outlineLvl w:val="3"/>
    </w:pPr>
    <w:rPr>
      <w:rFonts w:ascii="黑体" w:hAnsi="黑体" w:eastAsia="黑体" w:cs="黑体"/>
      <w:kern w:val="0"/>
      <w:sz w:val="26"/>
      <w:szCs w:val="26"/>
      <w:lang w:eastAsia="en-US"/>
    </w:rPr>
  </w:style>
  <w:style w:type="character" w:customStyle="1" w:styleId="16">
    <w:name w:val="文档结构图字符"/>
    <w:basedOn w:val="11"/>
    <w:link w:val="4"/>
    <w:semiHidden/>
    <w:qFormat/>
    <w:uiPriority w:val="99"/>
    <w:rPr>
      <w:rFonts w:ascii="宋体" w:eastAsia="宋体"/>
      <w:kern w:val="2"/>
      <w:sz w:val="24"/>
      <w:szCs w:val="24"/>
    </w:rPr>
  </w:style>
  <w:style w:type="paragraph" w:customStyle="1" w:styleId="17">
    <w:name w:val="修订1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8">
    <w:name w:val="页眉字符"/>
    <w:basedOn w:val="11"/>
    <w:link w:val="8"/>
    <w:qFormat/>
    <w:uiPriority w:val="99"/>
    <w:rPr>
      <w:kern w:val="2"/>
      <w:sz w:val="18"/>
      <w:szCs w:val="18"/>
    </w:rPr>
  </w:style>
  <w:style w:type="character" w:customStyle="1" w:styleId="19">
    <w:name w:val="页脚字符"/>
    <w:basedOn w:val="11"/>
    <w:link w:val="7"/>
    <w:qFormat/>
    <w:uiPriority w:val="99"/>
    <w:rPr>
      <w:kern w:val="2"/>
      <w:sz w:val="18"/>
      <w:szCs w:val="18"/>
    </w:rPr>
  </w:style>
  <w:style w:type="character" w:customStyle="1" w:styleId="20">
    <w:name w:val="日期字符"/>
    <w:basedOn w:val="11"/>
    <w:link w:val="6"/>
    <w:semiHidden/>
    <w:qFormat/>
    <w:uiPriority w:val="99"/>
    <w:rPr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972</Words>
  <Characters>1025</Characters>
  <Lines>10</Lines>
  <Paragraphs>2</Paragraphs>
  <TotalTime>19</TotalTime>
  <ScaleCrop>false</ScaleCrop>
  <LinksUpToDate>false</LinksUpToDate>
  <CharactersWithSpaces>1374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2021-12-22T05:04:00Z</dcterms:created>
  <dc:creator>沈 伟刚</dc:creator>
  <cp:lastModifiedBy>唐 yan</cp:lastModifiedBy>
  <dcterms:modified xsi:type="dcterms:W3CDTF">2025-08-25T05:34:53Z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640A840BD2AF40B8BCA7A1B91CC39943</vt:lpwstr>
  </property>
  <property fmtid="{D5CDD505-2E9C-101B-9397-08002B2CF9AE}" pid="4" name="KSOTemplateDocerSaveRecord">
    <vt:lpwstr>eyJoZGlkIjoiMDA2ZjQ2MGQ5ZjNjYWVjNGJhOGE5YjNhYmI2NDZiMGEiLCJ1c2VySWQiOiI0NjUxNjc0OTEifQ==</vt:lpwstr>
  </property>
</Properties>
</file>